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04B" w:rsidRPr="002B104B" w:rsidRDefault="002B104B" w:rsidP="00C6131D">
      <w:pPr>
        <w:adjustRightInd w:val="0"/>
        <w:snapToGrid w:val="0"/>
        <w:spacing w:afterLines="50" w:after="180"/>
        <w:jc w:val="center"/>
        <w:rPr>
          <w:rFonts w:ascii="微軟正黑體" w:eastAsia="微軟正黑體" w:hAnsi="微軟正黑體" w:cs="Arial"/>
          <w:sz w:val="36"/>
          <w:szCs w:val="36"/>
          <w:shd w:val="pct15" w:color="auto" w:fill="FFFFFF"/>
        </w:rPr>
      </w:pPr>
      <w:r w:rsidRPr="002B104B">
        <w:rPr>
          <w:rStyle w:val="a5"/>
          <w:rFonts w:ascii="微軟正黑體" w:eastAsia="微軟正黑體" w:hAnsi="微軟正黑體" w:cs="Arial"/>
          <w:bCs w:val="0"/>
          <w:sz w:val="36"/>
          <w:szCs w:val="36"/>
          <w:bdr w:val="none" w:sz="0" w:space="0" w:color="auto" w:frame="1"/>
          <w:shd w:val="pct15" w:color="auto" w:fill="FFFFFF"/>
        </w:rPr>
        <w:t>台灣第一本吞嚥困難多職類整合照護全書</w:t>
      </w:r>
    </w:p>
    <w:p w:rsidR="00822B4A" w:rsidRDefault="00822B4A" w:rsidP="00822B4A">
      <w:pPr>
        <w:adjustRightInd w:val="0"/>
        <w:snapToGrid w:val="0"/>
        <w:rPr>
          <w:rFonts w:ascii="微軟正黑體" w:eastAsia="微軟正黑體" w:hAnsi="微軟正黑體" w:cs="Arial"/>
          <w:i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374900" cy="3061361"/>
            <wp:effectExtent l="19050" t="0" r="6350" b="0"/>
            <wp:docPr id="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715" t="20969" r="35700" b="1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87" cy="306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Arial" w:hint="eastAsia"/>
          <w:i/>
          <w:color w:val="333333"/>
          <w:sz w:val="28"/>
          <w:szCs w:val="28"/>
          <w:shd w:val="clear" w:color="auto" w:fill="FFFFFF"/>
        </w:rPr>
        <w:t xml:space="preserve">      </w:t>
      </w:r>
      <w:r>
        <w:rPr>
          <w:noProof/>
        </w:rPr>
        <w:drawing>
          <wp:inline distT="0" distB="0" distL="0" distR="0">
            <wp:extent cx="1974850" cy="2754696"/>
            <wp:effectExtent l="19050" t="0" r="6350" b="0"/>
            <wp:docPr id="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157" t="20367" r="36778" b="1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70" cy="275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104B" w:rsidRPr="002B104B" w:rsidRDefault="00822B4A" w:rsidP="00822B4A">
      <w:pPr>
        <w:adjustRightInd w:val="0"/>
        <w:snapToGrid w:val="0"/>
        <w:rPr>
          <w:rFonts w:ascii="KaiTi" w:eastAsia="KaiTi" w:hAnsi="KaiTi" w:cs="Arial"/>
          <w:color w:val="333333"/>
          <w:szCs w:val="24"/>
          <w:shd w:val="clear" w:color="auto" w:fill="FFFFFF"/>
        </w:rPr>
      </w:pPr>
      <w:r w:rsidRPr="002B104B">
        <w:rPr>
          <w:rFonts w:ascii="KaiTi" w:eastAsia="KaiTi" w:hAnsi="KaiTi" w:cs="Arial"/>
          <w:color w:val="333333"/>
          <w:sz w:val="28"/>
          <w:szCs w:val="28"/>
          <w:shd w:val="clear" w:color="auto" w:fill="FFFFFF"/>
        </w:rPr>
        <w:t>“</w:t>
      </w:r>
      <w:r w:rsidRPr="002B104B">
        <w:rPr>
          <w:rFonts w:ascii="KaiTi" w:eastAsia="KaiTi" w:hAnsi="KaiTi" w:cs="Arial"/>
          <w:color w:val="333333"/>
          <w:szCs w:val="24"/>
          <w:shd w:val="clear" w:color="auto" w:fill="FFFFFF"/>
        </w:rPr>
        <w:t>小山珠美老師的ＫＴ平衡圖表（Kuchikara Taberu Balance Chart; KTBC）涵蓋吞嚥相關的四大面向：身心醫學面向、吞嚥功能面向、姿勢／活動面向、進食狀況／食物質地／營養面向，以及十三項五等級量表項目，並透過雷達圖示呈現進展，是非常值得參考的方式</w:t>
      </w:r>
      <w:r w:rsidRPr="002B104B">
        <w:rPr>
          <w:rFonts w:ascii="KaiTi" w:eastAsia="KaiTi" w:hAnsi="KaiTi" w:cs="Arial" w:hint="eastAsia"/>
          <w:color w:val="333333"/>
          <w:szCs w:val="24"/>
          <w:shd w:val="clear" w:color="auto" w:fill="FFFFFF"/>
        </w:rPr>
        <w:t>。</w:t>
      </w:r>
      <w:r w:rsidRPr="002B104B">
        <w:rPr>
          <w:rFonts w:ascii="KaiTi" w:eastAsia="KaiTi" w:hAnsi="KaiTi" w:cs="Arial"/>
          <w:color w:val="333333"/>
          <w:szCs w:val="24"/>
          <w:shd w:val="clear" w:color="auto" w:fill="FFFFFF"/>
        </w:rPr>
        <w:t>…</w:t>
      </w:r>
      <w:r w:rsidR="002B104B" w:rsidRPr="002B104B">
        <w:rPr>
          <w:rFonts w:ascii="KaiTi" w:eastAsia="KaiTi" w:hAnsi="KaiTi" w:cs="Arial"/>
          <w:color w:val="333333"/>
          <w:szCs w:val="24"/>
          <w:shd w:val="clear" w:color="auto" w:fill="FFFFFF"/>
        </w:rPr>
        <w:t>這本書提供了另一種治療吞嚥困難的模式</w:t>
      </w:r>
      <w:r w:rsidR="002B104B" w:rsidRPr="002B104B">
        <w:rPr>
          <w:rFonts w:ascii="KaiTi" w:eastAsia="KaiTi" w:hAnsi="KaiTi" w:cs="Arial" w:hint="eastAsia"/>
          <w:color w:val="333333"/>
          <w:szCs w:val="24"/>
          <w:shd w:val="clear" w:color="auto" w:fill="FFFFFF"/>
        </w:rPr>
        <w:t>，</w:t>
      </w:r>
      <w:r w:rsidRPr="002B104B">
        <w:rPr>
          <w:rFonts w:ascii="KaiTi" w:eastAsia="KaiTi" w:hAnsi="KaiTi" w:cs="Arial"/>
          <w:color w:val="333333"/>
          <w:szCs w:val="24"/>
          <w:shd w:val="clear" w:color="auto" w:fill="FFFFFF"/>
        </w:rPr>
        <w:t>帶給高齡社區吞嚥照護一個較為全觀的評估面向分數。我強烈推薦在臨床上需處理吞嚥困難的醫護人員都能閱讀這本書，我相信它一定會給您帶來重要的參考及啟發，對未來照顧吞嚥困難患者有很大的幫助。”</w:t>
      </w:r>
    </w:p>
    <w:p w:rsidR="002160EB" w:rsidRPr="002B104B" w:rsidRDefault="00822B4A" w:rsidP="002B104B">
      <w:pPr>
        <w:adjustRightInd w:val="0"/>
        <w:snapToGrid w:val="0"/>
        <w:jc w:val="right"/>
        <w:rPr>
          <w:rFonts w:ascii="標楷體" w:eastAsia="標楷體" w:hAnsi="標楷體"/>
          <w:b/>
          <w:sz w:val="22"/>
        </w:rPr>
      </w:pPr>
      <w:r w:rsidRPr="002B104B">
        <w:rPr>
          <w:rFonts w:ascii="微軟正黑體" w:eastAsia="微軟正黑體" w:hAnsi="微軟正黑體" w:cs="Arial" w:hint="eastAsia"/>
          <w:i/>
          <w:color w:val="333333"/>
          <w:sz w:val="22"/>
          <w:shd w:val="clear" w:color="auto" w:fill="FFFFFF"/>
        </w:rPr>
        <w:t xml:space="preserve"> </w:t>
      </w:r>
      <w:r w:rsidRPr="002B104B">
        <w:rPr>
          <w:rStyle w:val="a5"/>
          <w:rFonts w:ascii="標楷體" w:eastAsia="標楷體" w:hAnsi="標楷體" w:cs="Arial"/>
          <w:b w:val="0"/>
          <w:color w:val="333333"/>
          <w:sz w:val="22"/>
          <w:bdr w:val="none" w:sz="0" w:space="0" w:color="auto" w:frame="1"/>
          <w:shd w:val="clear" w:color="auto" w:fill="FFFFFF"/>
        </w:rPr>
        <w:t>（</w:t>
      </w:r>
      <w:r w:rsidRPr="002B104B">
        <w:rPr>
          <w:rStyle w:val="a5"/>
          <w:rFonts w:ascii="標楷體" w:eastAsia="標楷體" w:hAnsi="標楷體" w:cs="Arial" w:hint="eastAsia"/>
          <w:b w:val="0"/>
          <w:color w:val="333333"/>
          <w:sz w:val="22"/>
          <w:bdr w:val="none" w:sz="0" w:space="0" w:color="auto" w:frame="1"/>
          <w:shd w:val="clear" w:color="auto" w:fill="FFFFFF"/>
        </w:rPr>
        <w:t xml:space="preserve">推薦序 </w:t>
      </w:r>
      <w:r w:rsidRPr="002B104B">
        <w:rPr>
          <w:rStyle w:val="a5"/>
          <w:rFonts w:ascii="標楷體" w:eastAsia="標楷體" w:hAnsi="標楷體" w:cs="Arial"/>
          <w:b w:val="0"/>
          <w:color w:val="333333"/>
          <w:sz w:val="22"/>
          <w:bdr w:val="none" w:sz="0" w:space="0" w:color="auto" w:frame="1"/>
          <w:shd w:val="clear" w:color="auto" w:fill="FFFFFF"/>
        </w:rPr>
        <w:t>台灣大學醫學系復健科教授／台灣咀嚼吞嚥障礙醫學會理事長</w:t>
      </w:r>
      <w:r w:rsidRPr="002B104B">
        <w:rPr>
          <w:rStyle w:val="a5"/>
          <w:rFonts w:ascii="標楷體" w:eastAsia="標楷體" w:hAnsi="標楷體" w:cs="Arial" w:hint="eastAsia"/>
          <w:b w:val="0"/>
          <w:color w:val="333333"/>
          <w:sz w:val="22"/>
          <w:bdr w:val="none" w:sz="0" w:space="0" w:color="auto" w:frame="1"/>
          <w:shd w:val="clear" w:color="auto" w:fill="FFFFFF"/>
        </w:rPr>
        <w:t>王亭貴</w:t>
      </w:r>
      <w:r w:rsidRPr="002B104B">
        <w:rPr>
          <w:rStyle w:val="a5"/>
          <w:rFonts w:ascii="標楷體" w:eastAsia="標楷體" w:hAnsi="標楷體" w:cs="Arial"/>
          <w:b w:val="0"/>
          <w:color w:val="333333"/>
          <w:sz w:val="22"/>
          <w:bdr w:val="none" w:sz="0" w:space="0" w:color="auto" w:frame="1"/>
          <w:shd w:val="clear" w:color="auto" w:fill="FFFFFF"/>
        </w:rPr>
        <w:t>）</w:t>
      </w:r>
    </w:p>
    <w:p w:rsidR="002B104B" w:rsidRDefault="002B104B"/>
    <w:p w:rsidR="006E244A" w:rsidRPr="002B104B" w:rsidRDefault="002B104B">
      <w:pPr>
        <w:rPr>
          <w:rFonts w:ascii="微軟正黑體" w:eastAsia="微軟正黑體" w:hAnsi="微軟正黑體"/>
        </w:rPr>
      </w:pPr>
      <w:r w:rsidRPr="002B104B">
        <w:rPr>
          <w:rFonts w:ascii="微軟正黑體" w:eastAsia="微軟正黑體" w:hAnsi="微軟正黑體" w:hint="eastAsia"/>
        </w:rPr>
        <w:t>購書由此去</w:t>
      </w:r>
      <w:r w:rsidRPr="002B104B">
        <w:rPr>
          <w:rFonts w:ascii="微軟正黑體" w:eastAsia="Arial Unicode MS" w:hAnsi="Arial Unicode MS" w:cs="Arial Unicode MS" w:hint="eastAsia"/>
        </w:rPr>
        <w:t>➠</w:t>
      </w:r>
      <w:r w:rsidR="002160EB" w:rsidRPr="002B104B">
        <w:rPr>
          <w:rFonts w:ascii="微軟正黑體" w:eastAsia="微軟正黑體" w:hAnsi="微軟正黑體"/>
          <w:noProof/>
        </w:rPr>
        <w:drawing>
          <wp:inline distT="0" distB="0" distL="0" distR="0">
            <wp:extent cx="1308100" cy="1282700"/>
            <wp:effectExtent l="1905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165" t="31624" r="37033" b="2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104B">
        <w:rPr>
          <w:rFonts w:ascii="微軟正黑體" w:eastAsia="微軟正黑體" w:hAnsi="微軟正黑體" w:hint="eastAsia"/>
        </w:rPr>
        <w:t>【大雁出版基地蝦皮商城】</w:t>
      </w:r>
    </w:p>
    <w:p w:rsidR="002160EB" w:rsidRPr="002B104B" w:rsidRDefault="002160EB">
      <w:pPr>
        <w:rPr>
          <w:rFonts w:ascii="微軟正黑體" w:eastAsia="微軟正黑體" w:hAnsi="微軟正黑體"/>
        </w:rPr>
      </w:pPr>
      <w:r w:rsidRPr="002B104B">
        <w:rPr>
          <w:rFonts w:ascii="微軟正黑體" w:eastAsia="微軟正黑體" w:hAnsi="微軟正黑體" w:hint="eastAsia"/>
        </w:rPr>
        <w:t>結帳使用此代號</w:t>
      </w:r>
      <w:r w:rsidR="002C0950" w:rsidRPr="002B104B">
        <w:rPr>
          <w:rFonts w:ascii="微軟正黑體" w:eastAsia="微軟正黑體" w:hAnsi="微軟正黑體" w:hint="eastAsia"/>
        </w:rPr>
        <w:t>【</w:t>
      </w:r>
      <w:r w:rsidR="002C0950" w:rsidRPr="002B104B">
        <w:rPr>
          <w:rFonts w:ascii="微軟正黑體" w:eastAsia="微軟正黑體" w:hAnsi="微軟正黑體" w:hint="eastAsia"/>
          <w:b/>
          <w:sz w:val="28"/>
          <w:szCs w:val="28"/>
        </w:rPr>
        <w:t>2799AB900</w:t>
      </w:r>
      <w:r w:rsidR="002C0950" w:rsidRPr="002B104B">
        <w:rPr>
          <w:rFonts w:ascii="微軟正黑體" w:eastAsia="微軟正黑體" w:hAnsi="微軟正黑體" w:hint="eastAsia"/>
        </w:rPr>
        <w:t>】</w:t>
      </w:r>
      <w:r w:rsidRPr="002B104B">
        <w:rPr>
          <w:rFonts w:ascii="微軟正黑體" w:eastAsia="微軟正黑體" w:hAnsi="微軟正黑體" w:hint="eastAsia"/>
        </w:rPr>
        <w:t>，即可在大雁出版基地蝦皮商城享指定商品折扣後，</w:t>
      </w:r>
      <w:r w:rsidRPr="002B104B">
        <w:rPr>
          <w:rFonts w:ascii="微軟正黑體" w:eastAsia="微軟正黑體" w:hAnsi="微軟正黑體" w:hint="eastAsia"/>
          <w:b/>
        </w:rPr>
        <w:t>再</w:t>
      </w:r>
      <w:r w:rsidR="002C0950" w:rsidRPr="002B104B">
        <w:rPr>
          <w:rFonts w:ascii="微軟正黑體" w:eastAsia="微軟正黑體" w:hAnsi="微軟正黑體" w:hint="eastAsia"/>
          <w:b/>
        </w:rPr>
        <w:t>折價50</w:t>
      </w:r>
      <w:r w:rsidRPr="002B104B">
        <w:rPr>
          <w:rFonts w:ascii="微軟正黑體" w:eastAsia="微軟正黑體" w:hAnsi="微軟正黑體" w:hint="eastAsia"/>
          <w:b/>
        </w:rPr>
        <w:t>元</w:t>
      </w:r>
      <w:r w:rsidR="002C0950" w:rsidRPr="002B104B">
        <w:rPr>
          <w:rFonts w:ascii="微軟正黑體" w:eastAsia="微軟正黑體" w:hAnsi="微軟正黑體" w:hint="eastAsia"/>
          <w:b/>
        </w:rPr>
        <w:t>優惠</w:t>
      </w:r>
      <w:r w:rsidR="002C0950" w:rsidRPr="002B104B">
        <w:rPr>
          <w:rFonts w:ascii="微軟正黑體" w:eastAsia="微軟正黑體" w:hAnsi="微軟正黑體" w:hint="eastAsia"/>
        </w:rPr>
        <w:t>。使用期限：即日起~111.4.30止。</w:t>
      </w:r>
    </w:p>
    <w:sectPr w:rsidR="002160EB" w:rsidRPr="002B104B" w:rsidSect="006E244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CC8" w:rsidRDefault="00946CC8" w:rsidP="00B53990">
      <w:r>
        <w:separator/>
      </w:r>
    </w:p>
  </w:endnote>
  <w:endnote w:type="continuationSeparator" w:id="0">
    <w:p w:rsidR="00946CC8" w:rsidRDefault="00946CC8" w:rsidP="00B53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altName w:val="Adobe 明體 Std L"/>
    <w:panose1 w:val="020B0604020202020204"/>
    <w:charset w:val="88"/>
    <w:family w:val="swiss"/>
    <w:pitch w:val="variable"/>
    <w:sig w:usb0="00000000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CC8" w:rsidRDefault="00946CC8" w:rsidP="00B53990">
      <w:r>
        <w:separator/>
      </w:r>
    </w:p>
  </w:footnote>
  <w:footnote w:type="continuationSeparator" w:id="0">
    <w:p w:rsidR="00946CC8" w:rsidRDefault="00946CC8" w:rsidP="00B539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0EB"/>
    <w:rsid w:val="000F2ACF"/>
    <w:rsid w:val="002160EB"/>
    <w:rsid w:val="002B104B"/>
    <w:rsid w:val="002C0950"/>
    <w:rsid w:val="00663A46"/>
    <w:rsid w:val="006E244A"/>
    <w:rsid w:val="00822B4A"/>
    <w:rsid w:val="00946CC8"/>
    <w:rsid w:val="00B53990"/>
    <w:rsid w:val="00B85EEF"/>
    <w:rsid w:val="00C6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EF7F8D3-42BE-49AA-BC42-D6DB32BF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44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0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160EB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basedOn w:val="a0"/>
    <w:uiPriority w:val="22"/>
    <w:qFormat/>
    <w:rsid w:val="00822B4A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B53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B53990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B53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B5399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patty Ni</cp:lastModifiedBy>
  <cp:revision>2</cp:revision>
  <cp:lastPrinted>2022-03-25T07:57:00Z</cp:lastPrinted>
  <dcterms:created xsi:type="dcterms:W3CDTF">2022-03-25T07:58:00Z</dcterms:created>
  <dcterms:modified xsi:type="dcterms:W3CDTF">2022-03-25T07:58:00Z</dcterms:modified>
</cp:coreProperties>
</file>