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43A" w:rsidRPr="003627CF" w:rsidRDefault="00FB5281" w:rsidP="009F05E6">
      <w:pPr>
        <w:jc w:val="center"/>
        <w:rPr>
          <w:rFonts w:ascii="標楷體" w:eastAsia="標楷體" w:hAnsi="標楷體"/>
          <w:b/>
          <w:sz w:val="20"/>
          <w:szCs w:val="20"/>
        </w:rPr>
      </w:pPr>
      <w:r w:rsidRPr="00FB5281">
        <w:rPr>
          <w:rFonts w:ascii="標楷體" w:eastAsia="標楷體" w:hAnsi="標楷體" w:hint="eastAsia"/>
          <w:b/>
          <w:sz w:val="20"/>
          <w:szCs w:val="20"/>
        </w:rPr>
        <w:t>年改之後？年金改革釋憲</w:t>
      </w:r>
      <w:r w:rsidR="00FD7A2A" w:rsidRPr="003627CF">
        <w:rPr>
          <w:rFonts w:ascii="標楷體" w:eastAsia="標楷體" w:hAnsi="標楷體" w:hint="eastAsia"/>
          <w:b/>
          <w:sz w:val="20"/>
          <w:szCs w:val="20"/>
        </w:rPr>
        <w:t>研討會</w:t>
      </w:r>
    </w:p>
    <w:p w:rsidR="00FD7A2A" w:rsidRPr="003627CF" w:rsidRDefault="00FD7A2A" w:rsidP="00B82E8D">
      <w:pPr>
        <w:jc w:val="center"/>
        <w:rPr>
          <w:rFonts w:ascii="標楷體" w:eastAsia="標楷體" w:hAnsi="標楷體"/>
          <w:b/>
          <w:sz w:val="20"/>
          <w:szCs w:val="20"/>
        </w:rPr>
      </w:pPr>
      <w:r w:rsidRPr="003627CF">
        <w:rPr>
          <w:rFonts w:ascii="標楷體" w:eastAsia="標楷體" w:hAnsi="標楷體" w:hint="eastAsia"/>
          <w:b/>
          <w:sz w:val="20"/>
          <w:szCs w:val="20"/>
        </w:rPr>
        <w:t>議程表</w:t>
      </w:r>
    </w:p>
    <w:p w:rsidR="00FD7A2A" w:rsidRPr="003627CF" w:rsidRDefault="0076443A" w:rsidP="0076443A">
      <w:pPr>
        <w:rPr>
          <w:rFonts w:ascii="標楷體" w:eastAsia="標楷體" w:hAnsi="標楷體"/>
          <w:sz w:val="20"/>
          <w:szCs w:val="20"/>
        </w:rPr>
      </w:pPr>
      <w:r w:rsidRPr="003627CF">
        <w:rPr>
          <w:rFonts w:ascii="標楷體" w:eastAsia="標楷體" w:hAnsi="標楷體" w:hint="eastAsia"/>
          <w:sz w:val="20"/>
          <w:szCs w:val="20"/>
        </w:rPr>
        <w:t>日期</w:t>
      </w:r>
      <w:r w:rsidR="00FD7A2A" w:rsidRPr="003627CF">
        <w:rPr>
          <w:rFonts w:ascii="標楷體" w:eastAsia="標楷體" w:hAnsi="標楷體" w:hint="eastAsia"/>
          <w:sz w:val="20"/>
          <w:szCs w:val="20"/>
        </w:rPr>
        <w:t>：</w:t>
      </w:r>
      <w:r w:rsidR="009755BD" w:rsidRPr="003627CF">
        <w:rPr>
          <w:rFonts w:ascii="標楷體" w:eastAsia="標楷體" w:hAnsi="標楷體"/>
          <w:sz w:val="20"/>
          <w:szCs w:val="20"/>
        </w:rPr>
        <w:t>201</w:t>
      </w:r>
      <w:r w:rsidR="00FB5281">
        <w:rPr>
          <w:rFonts w:ascii="標楷體" w:eastAsia="標楷體" w:hAnsi="標楷體"/>
          <w:sz w:val="20"/>
          <w:szCs w:val="20"/>
          <w:lang w:val="de-DE"/>
        </w:rPr>
        <w:t>9</w:t>
      </w:r>
      <w:r w:rsidR="00FD7A2A" w:rsidRPr="003627CF">
        <w:rPr>
          <w:rFonts w:ascii="標楷體" w:eastAsia="標楷體" w:hAnsi="標楷體" w:hint="eastAsia"/>
          <w:sz w:val="20"/>
          <w:szCs w:val="20"/>
        </w:rPr>
        <w:t>年</w:t>
      </w:r>
      <w:r w:rsidR="00FD7A2A" w:rsidRPr="003627CF">
        <w:rPr>
          <w:rFonts w:ascii="標楷體" w:eastAsia="標楷體" w:hAnsi="標楷體"/>
          <w:sz w:val="20"/>
          <w:szCs w:val="20"/>
        </w:rPr>
        <w:t>12</w:t>
      </w:r>
      <w:r w:rsidR="00FD7A2A" w:rsidRPr="003627CF">
        <w:rPr>
          <w:rFonts w:ascii="標楷體" w:eastAsia="標楷體" w:hAnsi="標楷體" w:hint="eastAsia"/>
          <w:sz w:val="20"/>
          <w:szCs w:val="20"/>
        </w:rPr>
        <w:t>月</w:t>
      </w:r>
      <w:r w:rsidR="00FE67E1">
        <w:rPr>
          <w:rFonts w:ascii="標楷體" w:eastAsia="標楷體" w:hAnsi="標楷體" w:hint="eastAsia"/>
          <w:sz w:val="20"/>
          <w:szCs w:val="20"/>
        </w:rPr>
        <w:t>20</w:t>
      </w:r>
      <w:r w:rsidR="00FD7A2A" w:rsidRPr="003627CF">
        <w:rPr>
          <w:rFonts w:ascii="標楷體" w:eastAsia="標楷體" w:hAnsi="標楷體" w:hint="eastAsia"/>
          <w:sz w:val="20"/>
          <w:szCs w:val="20"/>
        </w:rPr>
        <w:t>日（</w:t>
      </w:r>
      <w:r w:rsidR="00FE67E1">
        <w:rPr>
          <w:rFonts w:ascii="標楷體" w:eastAsia="標楷體" w:hAnsi="標楷體" w:hint="eastAsia"/>
          <w:sz w:val="20"/>
          <w:szCs w:val="20"/>
        </w:rPr>
        <w:t>五</w:t>
      </w:r>
      <w:r w:rsidR="00FD7A2A" w:rsidRPr="003627CF">
        <w:rPr>
          <w:rFonts w:ascii="標楷體" w:eastAsia="標楷體" w:hAnsi="標楷體" w:hint="eastAsia"/>
          <w:sz w:val="20"/>
          <w:szCs w:val="20"/>
        </w:rPr>
        <w:t>）</w:t>
      </w:r>
    </w:p>
    <w:p w:rsidR="00FD7A2A" w:rsidRPr="003627CF" w:rsidRDefault="00FD7A2A" w:rsidP="0076443A">
      <w:pPr>
        <w:rPr>
          <w:rFonts w:ascii="標楷體" w:eastAsia="標楷體" w:hAnsi="標楷體"/>
          <w:sz w:val="20"/>
          <w:szCs w:val="20"/>
        </w:rPr>
      </w:pPr>
      <w:r w:rsidRPr="003627CF">
        <w:rPr>
          <w:rFonts w:ascii="標楷體" w:eastAsia="標楷體" w:hAnsi="標楷體" w:hint="eastAsia"/>
          <w:sz w:val="20"/>
          <w:szCs w:val="20"/>
        </w:rPr>
        <w:t>地點：國立臺灣大學法律學院</w:t>
      </w:r>
      <w:r w:rsidR="0076443A" w:rsidRPr="003627CF">
        <w:rPr>
          <w:rFonts w:ascii="標楷體" w:eastAsia="標楷體" w:hAnsi="標楷體" w:hint="eastAsia"/>
          <w:sz w:val="20"/>
          <w:szCs w:val="20"/>
        </w:rPr>
        <w:t>霖澤館1301室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6"/>
        <w:gridCol w:w="6496"/>
      </w:tblGrid>
      <w:tr w:rsidR="00FD7A2A" w:rsidRPr="003627CF" w:rsidTr="009F05E6">
        <w:trPr>
          <w:trHeight w:val="289"/>
        </w:trPr>
        <w:tc>
          <w:tcPr>
            <w:tcW w:w="1811" w:type="dxa"/>
            <w:vAlign w:val="center"/>
          </w:tcPr>
          <w:p w:rsidR="00FD7A2A" w:rsidRPr="0070603B" w:rsidRDefault="00FD7A2A" w:rsidP="009F05E6">
            <w:pPr>
              <w:jc w:val="center"/>
              <w:rPr>
                <w:rFonts w:ascii="標楷體" w:eastAsia="標楷體" w:hAnsi="標楷體"/>
                <w:sz w:val="20"/>
                <w:szCs w:val="20"/>
                <w:lang w:val="de-DE"/>
              </w:rPr>
            </w:pPr>
            <w:r w:rsidRPr="003627CF">
              <w:rPr>
                <w:rFonts w:ascii="標楷體" w:eastAsia="標楷體" w:hAnsi="標楷體"/>
                <w:sz w:val="20"/>
                <w:szCs w:val="20"/>
              </w:rPr>
              <w:t>09:00~09:</w:t>
            </w:r>
            <w:r w:rsidR="0070603B">
              <w:rPr>
                <w:rFonts w:ascii="標楷體" w:eastAsia="標楷體" w:hAnsi="標楷體"/>
                <w:sz w:val="20"/>
                <w:szCs w:val="20"/>
                <w:lang w:val="de-DE"/>
              </w:rPr>
              <w:t>0</w:t>
            </w:r>
            <w:r w:rsidR="002F2BBD">
              <w:rPr>
                <w:rFonts w:ascii="標楷體" w:eastAsia="標楷體" w:hAnsi="標楷體"/>
                <w:sz w:val="20"/>
                <w:szCs w:val="20"/>
                <w:lang w:val="de-DE"/>
              </w:rPr>
              <w:t>5</w:t>
            </w:r>
          </w:p>
        </w:tc>
        <w:tc>
          <w:tcPr>
            <w:tcW w:w="6561" w:type="dxa"/>
          </w:tcPr>
          <w:p w:rsidR="00344B14" w:rsidRDefault="0070603B" w:rsidP="00E73D33">
            <w:pPr>
              <w:rPr>
                <w:rFonts w:ascii="標楷體" w:eastAsia="標楷體" w:hAnsi="標楷體"/>
                <w:sz w:val="20"/>
                <w:szCs w:val="20"/>
              </w:rPr>
            </w:pPr>
            <w:r>
              <w:rPr>
                <w:rFonts w:ascii="標楷體" w:eastAsia="標楷體" w:hAnsi="標楷體" w:hint="eastAsia"/>
                <w:sz w:val="20"/>
                <w:szCs w:val="20"/>
              </w:rPr>
              <w:t>開幕致詞</w:t>
            </w:r>
            <w:r w:rsidR="00F120FF">
              <w:rPr>
                <w:rFonts w:ascii="標楷體" w:eastAsia="標楷體" w:hAnsi="標楷體" w:hint="eastAsia"/>
                <w:sz w:val="20"/>
                <w:szCs w:val="20"/>
              </w:rPr>
              <w:t xml:space="preserve"> </w:t>
            </w:r>
          </w:p>
          <w:p w:rsidR="00344B14" w:rsidRDefault="00F120FF" w:rsidP="00E73D33">
            <w:pPr>
              <w:rPr>
                <w:rFonts w:ascii="標楷體" w:eastAsia="標楷體" w:hAnsi="標楷體"/>
                <w:sz w:val="20"/>
                <w:szCs w:val="20"/>
              </w:rPr>
            </w:pPr>
            <w:r>
              <w:rPr>
                <w:rFonts w:ascii="標楷體" w:eastAsia="標楷體" w:hAnsi="標楷體" w:hint="eastAsia"/>
                <w:sz w:val="20"/>
                <w:szCs w:val="20"/>
              </w:rPr>
              <w:t>李玉君</w:t>
            </w:r>
            <w:r w:rsidR="00B30DAF">
              <w:rPr>
                <w:rFonts w:ascii="標楷體" w:eastAsia="標楷體" w:hAnsi="標楷體" w:hint="eastAsia"/>
                <w:sz w:val="20"/>
                <w:szCs w:val="20"/>
              </w:rPr>
              <w:t xml:space="preserve"> </w:t>
            </w:r>
            <w:r w:rsidR="00E73D33">
              <w:rPr>
                <w:rFonts w:ascii="標楷體" w:eastAsia="標楷體" w:hAnsi="標楷體" w:hint="eastAsia"/>
                <w:sz w:val="20"/>
                <w:szCs w:val="20"/>
              </w:rPr>
              <w:t>(國立暨南大學公共行政系教授兼系主任、台灣社會法與社會政策學會理事長)</w:t>
            </w:r>
          </w:p>
          <w:p w:rsidR="00FD7A2A" w:rsidRPr="003627CF" w:rsidRDefault="00605D2B" w:rsidP="00605D2B">
            <w:pPr>
              <w:rPr>
                <w:rFonts w:ascii="標楷體" w:eastAsia="標楷體" w:hAnsi="標楷體"/>
                <w:sz w:val="20"/>
                <w:szCs w:val="20"/>
              </w:rPr>
            </w:pPr>
            <w:r w:rsidRPr="00605D2B">
              <w:rPr>
                <w:rFonts w:ascii="標楷體" w:eastAsia="標楷體" w:hAnsi="標楷體" w:hint="eastAsia"/>
                <w:sz w:val="20"/>
                <w:szCs w:val="20"/>
              </w:rPr>
              <w:t>邵瓊慧</w:t>
            </w:r>
            <w:r>
              <w:rPr>
                <w:rFonts w:ascii="標楷體" w:eastAsia="標楷體" w:hAnsi="標楷體" w:hint="eastAsia"/>
                <w:sz w:val="20"/>
                <w:szCs w:val="20"/>
              </w:rPr>
              <w:t>（</w:t>
            </w:r>
            <w:r w:rsidRPr="00605D2B">
              <w:rPr>
                <w:rFonts w:ascii="標楷體" w:eastAsia="標楷體" w:hAnsi="標楷體" w:hint="eastAsia"/>
                <w:sz w:val="20"/>
                <w:szCs w:val="20"/>
              </w:rPr>
              <w:t>台北律師公會理事長</w:t>
            </w:r>
            <w:r>
              <w:rPr>
                <w:rFonts w:ascii="標楷體" w:eastAsia="標楷體" w:hAnsi="標楷體" w:hint="eastAsia"/>
                <w:sz w:val="20"/>
                <w:szCs w:val="20"/>
              </w:rPr>
              <w:t>）</w:t>
            </w:r>
          </w:p>
        </w:tc>
      </w:tr>
      <w:tr w:rsidR="00FD7A2A" w:rsidRPr="003627CF" w:rsidTr="009F05E6">
        <w:trPr>
          <w:trHeight w:val="289"/>
        </w:trPr>
        <w:tc>
          <w:tcPr>
            <w:tcW w:w="1811" w:type="dxa"/>
            <w:vAlign w:val="center"/>
          </w:tcPr>
          <w:p w:rsidR="00FD7A2A" w:rsidRPr="003627CF" w:rsidRDefault="00FD7A2A" w:rsidP="009F05E6">
            <w:pPr>
              <w:jc w:val="center"/>
              <w:rPr>
                <w:rFonts w:ascii="標楷體" w:eastAsia="標楷體" w:hAnsi="標楷體"/>
                <w:sz w:val="20"/>
                <w:szCs w:val="20"/>
              </w:rPr>
            </w:pPr>
            <w:r w:rsidRPr="003627CF">
              <w:rPr>
                <w:rFonts w:ascii="標楷體" w:eastAsia="標楷體" w:hAnsi="標楷體"/>
                <w:sz w:val="20"/>
                <w:szCs w:val="20"/>
              </w:rPr>
              <w:t>09:</w:t>
            </w:r>
            <w:r w:rsidR="002F2BBD">
              <w:rPr>
                <w:rFonts w:ascii="標楷體" w:eastAsia="標楷體" w:hAnsi="標楷體"/>
                <w:sz w:val="20"/>
                <w:szCs w:val="20"/>
              </w:rPr>
              <w:t>05</w:t>
            </w:r>
            <w:r w:rsidRPr="003627CF">
              <w:rPr>
                <w:rFonts w:ascii="標楷體" w:eastAsia="標楷體" w:hAnsi="標楷體"/>
                <w:sz w:val="20"/>
                <w:szCs w:val="20"/>
              </w:rPr>
              <w:t>~09:</w:t>
            </w:r>
            <w:r w:rsidR="002F2BBD">
              <w:rPr>
                <w:rFonts w:ascii="標楷體" w:eastAsia="標楷體" w:hAnsi="標楷體"/>
                <w:sz w:val="20"/>
                <w:szCs w:val="20"/>
              </w:rPr>
              <w:t>30</w:t>
            </w:r>
          </w:p>
        </w:tc>
        <w:tc>
          <w:tcPr>
            <w:tcW w:w="6561" w:type="dxa"/>
          </w:tcPr>
          <w:p w:rsidR="00FD7A2A" w:rsidRDefault="0070603B" w:rsidP="00D437F7">
            <w:pPr>
              <w:rPr>
                <w:rFonts w:ascii="標楷體" w:eastAsia="標楷體" w:hAnsi="標楷體"/>
                <w:sz w:val="20"/>
                <w:szCs w:val="20"/>
                <w:lang w:val="de-DE"/>
              </w:rPr>
            </w:pPr>
            <w:r>
              <w:rPr>
                <w:rFonts w:ascii="標楷體" w:eastAsia="標楷體" w:hAnsi="標楷體" w:hint="eastAsia"/>
                <w:sz w:val="20"/>
                <w:szCs w:val="20"/>
              </w:rPr>
              <w:t>釋字第</w:t>
            </w:r>
            <w:r>
              <w:rPr>
                <w:rFonts w:ascii="標楷體" w:eastAsia="標楷體" w:hAnsi="標楷體"/>
                <w:sz w:val="20"/>
                <w:szCs w:val="20"/>
                <w:lang w:val="de-DE"/>
              </w:rPr>
              <w:t>781-783</w:t>
            </w:r>
            <w:r>
              <w:rPr>
                <w:rFonts w:ascii="標楷體" w:eastAsia="標楷體" w:hAnsi="標楷體" w:hint="eastAsia"/>
                <w:sz w:val="20"/>
                <w:szCs w:val="20"/>
                <w:lang w:val="de-DE"/>
              </w:rPr>
              <w:t>號解釋</w:t>
            </w:r>
            <w:r w:rsidR="00FB5281">
              <w:rPr>
                <w:rFonts w:ascii="標楷體" w:eastAsia="標楷體" w:hAnsi="標楷體" w:hint="eastAsia"/>
                <w:sz w:val="20"/>
                <w:szCs w:val="20"/>
                <w:lang w:val="de-DE"/>
              </w:rPr>
              <w:t>：主要爭點</w:t>
            </w:r>
            <w:r w:rsidR="002F2BBD">
              <w:rPr>
                <w:rFonts w:ascii="標楷體" w:eastAsia="標楷體" w:hAnsi="標楷體" w:hint="eastAsia"/>
                <w:sz w:val="20"/>
                <w:szCs w:val="20"/>
                <w:lang w:val="de-DE"/>
              </w:rPr>
              <w:t>、</w:t>
            </w:r>
            <w:r w:rsidR="00FB5281">
              <w:rPr>
                <w:rFonts w:ascii="標楷體" w:eastAsia="標楷體" w:hAnsi="標楷體" w:hint="eastAsia"/>
                <w:sz w:val="20"/>
                <w:szCs w:val="20"/>
                <w:lang w:val="de-DE"/>
              </w:rPr>
              <w:t>言詞辯論</w:t>
            </w:r>
            <w:r w:rsidR="002F2BBD">
              <w:rPr>
                <w:rFonts w:ascii="標楷體" w:eastAsia="標楷體" w:hAnsi="標楷體" w:hint="eastAsia"/>
                <w:sz w:val="20"/>
                <w:szCs w:val="20"/>
                <w:lang w:val="de-DE"/>
              </w:rPr>
              <w:t>及其對軍公教退休制度未來發展的意義</w:t>
            </w:r>
          </w:p>
          <w:p w:rsidR="00FB5281" w:rsidRPr="00487EC9" w:rsidRDefault="00FB5281" w:rsidP="00F120FF">
            <w:pPr>
              <w:rPr>
                <w:rFonts w:ascii="標楷體" w:eastAsia="標楷體" w:hAnsi="標楷體"/>
                <w:color w:val="548DD4" w:themeColor="text2" w:themeTint="99"/>
                <w:sz w:val="20"/>
                <w:szCs w:val="20"/>
                <w:lang w:val="de-DE"/>
              </w:rPr>
            </w:pPr>
            <w:r>
              <w:rPr>
                <w:rFonts w:ascii="標楷體" w:eastAsia="標楷體" w:hAnsi="標楷體" w:hint="eastAsia"/>
                <w:sz w:val="20"/>
                <w:szCs w:val="20"/>
                <w:lang w:val="de-DE"/>
              </w:rPr>
              <w:t>報告人：</w:t>
            </w:r>
            <w:r w:rsidR="00F120FF" w:rsidRPr="00F120FF">
              <w:rPr>
                <w:rFonts w:ascii="標楷體" w:eastAsia="標楷體" w:hAnsi="標楷體" w:hint="eastAsia"/>
                <w:color w:val="000000" w:themeColor="text1"/>
                <w:sz w:val="20"/>
                <w:szCs w:val="20"/>
                <w:lang w:val="de-DE"/>
              </w:rPr>
              <w:t>孫迺翊</w:t>
            </w:r>
            <w:r w:rsidR="00E73D33">
              <w:rPr>
                <w:rFonts w:ascii="標楷體" w:eastAsia="標楷體" w:hAnsi="標楷體" w:hint="eastAsia"/>
                <w:color w:val="000000" w:themeColor="text1"/>
                <w:sz w:val="20"/>
                <w:szCs w:val="20"/>
                <w:lang w:val="de-DE"/>
              </w:rPr>
              <w:t>（國立台灣大學法律學院教授）</w:t>
            </w:r>
            <w:r w:rsidR="00487EC9">
              <w:rPr>
                <w:rFonts w:ascii="標楷體" w:eastAsia="標楷體" w:hAnsi="標楷體" w:hint="eastAsia"/>
                <w:color w:val="548DD4" w:themeColor="text2" w:themeTint="99"/>
                <w:sz w:val="20"/>
                <w:szCs w:val="20"/>
                <w:lang w:val="de-DE"/>
              </w:rPr>
              <w:t xml:space="preserve"> </w:t>
            </w:r>
          </w:p>
        </w:tc>
      </w:tr>
      <w:tr w:rsidR="00FD7A2A" w:rsidRPr="003627CF" w:rsidTr="009F05E6">
        <w:trPr>
          <w:trHeight w:val="289"/>
        </w:trPr>
        <w:tc>
          <w:tcPr>
            <w:tcW w:w="1811" w:type="dxa"/>
            <w:vAlign w:val="center"/>
          </w:tcPr>
          <w:p w:rsidR="004A45DB" w:rsidRDefault="004A45DB" w:rsidP="009F05E6">
            <w:pPr>
              <w:jc w:val="center"/>
              <w:rPr>
                <w:rFonts w:ascii="標楷體" w:eastAsia="標楷體" w:hAnsi="標楷體"/>
                <w:sz w:val="20"/>
                <w:szCs w:val="20"/>
              </w:rPr>
            </w:pPr>
            <w:r w:rsidRPr="003627CF">
              <w:rPr>
                <w:rFonts w:ascii="標楷體" w:eastAsia="標楷體" w:hAnsi="標楷體" w:hint="eastAsia"/>
                <w:sz w:val="20"/>
                <w:szCs w:val="20"/>
              </w:rPr>
              <w:t>第一場次</w:t>
            </w:r>
          </w:p>
          <w:p w:rsidR="00FD7A2A" w:rsidRPr="003627CF" w:rsidRDefault="00A3545F" w:rsidP="009F05E6">
            <w:pPr>
              <w:jc w:val="center"/>
              <w:rPr>
                <w:rFonts w:ascii="標楷體" w:eastAsia="標楷體" w:hAnsi="標楷體"/>
                <w:sz w:val="20"/>
                <w:szCs w:val="20"/>
              </w:rPr>
            </w:pPr>
            <w:r w:rsidRPr="003627CF">
              <w:rPr>
                <w:rFonts w:ascii="標楷體" w:eastAsia="標楷體" w:hAnsi="標楷體"/>
                <w:sz w:val="20"/>
                <w:szCs w:val="20"/>
              </w:rPr>
              <w:t>09:</w:t>
            </w:r>
            <w:r w:rsidR="002F2BBD">
              <w:rPr>
                <w:rFonts w:ascii="標楷體" w:eastAsia="標楷體" w:hAnsi="標楷體"/>
                <w:sz w:val="20"/>
                <w:szCs w:val="20"/>
              </w:rPr>
              <w:t>30</w:t>
            </w:r>
            <w:r w:rsidR="00FD7A2A" w:rsidRPr="003627CF">
              <w:rPr>
                <w:rFonts w:ascii="標楷體" w:eastAsia="標楷體" w:hAnsi="標楷體"/>
                <w:sz w:val="20"/>
                <w:szCs w:val="20"/>
              </w:rPr>
              <w:t>~10:</w:t>
            </w:r>
            <w:r w:rsidR="004A45DB">
              <w:rPr>
                <w:rFonts w:ascii="標楷體" w:eastAsia="標楷體" w:hAnsi="標楷體" w:hint="eastAsia"/>
                <w:sz w:val="20"/>
                <w:szCs w:val="20"/>
              </w:rPr>
              <w:t>5</w:t>
            </w:r>
            <w:r w:rsidR="00FD7A2A" w:rsidRPr="003627CF">
              <w:rPr>
                <w:rFonts w:ascii="標楷體" w:eastAsia="標楷體" w:hAnsi="標楷體"/>
                <w:sz w:val="20"/>
                <w:szCs w:val="20"/>
              </w:rPr>
              <w:t>0</w:t>
            </w:r>
          </w:p>
        </w:tc>
        <w:tc>
          <w:tcPr>
            <w:tcW w:w="6561" w:type="dxa"/>
          </w:tcPr>
          <w:p w:rsidR="004A45DB" w:rsidRPr="003627CF" w:rsidRDefault="004A45DB" w:rsidP="004A45DB">
            <w:pPr>
              <w:rPr>
                <w:rFonts w:ascii="標楷體" w:eastAsia="標楷體" w:hAnsi="標楷體"/>
                <w:sz w:val="20"/>
                <w:szCs w:val="20"/>
              </w:rPr>
            </w:pPr>
            <w:r w:rsidRPr="003627CF">
              <w:rPr>
                <w:rFonts w:ascii="標楷體" w:eastAsia="標楷體" w:hAnsi="標楷體" w:hint="eastAsia"/>
                <w:sz w:val="20"/>
                <w:szCs w:val="20"/>
              </w:rPr>
              <w:t>主持人：</w:t>
            </w:r>
            <w:r w:rsidR="006B6DA0">
              <w:rPr>
                <w:rFonts w:ascii="標楷體" w:eastAsia="標楷體" w:hAnsi="標楷體" w:hint="eastAsia"/>
                <w:sz w:val="20"/>
                <w:szCs w:val="20"/>
              </w:rPr>
              <w:t>郝鳳鳴</w:t>
            </w:r>
            <w:r w:rsidR="00E73D33">
              <w:rPr>
                <w:rFonts w:ascii="標楷體" w:eastAsia="標楷體" w:hAnsi="標楷體" w:hint="eastAsia"/>
                <w:sz w:val="20"/>
                <w:szCs w:val="20"/>
              </w:rPr>
              <w:t>（國立中正大學法律系教授兼副校長）</w:t>
            </w:r>
          </w:p>
          <w:p w:rsidR="002F2BBD" w:rsidRDefault="002F2BBD" w:rsidP="004A45DB">
            <w:pPr>
              <w:ind w:left="800" w:hangingChars="400" w:hanging="800"/>
              <w:rPr>
                <w:rFonts w:ascii="標楷體" w:eastAsia="標楷體" w:hAnsi="標楷體"/>
                <w:sz w:val="20"/>
                <w:szCs w:val="20"/>
              </w:rPr>
            </w:pPr>
          </w:p>
          <w:p w:rsidR="004A45DB" w:rsidRPr="00FB5281" w:rsidRDefault="004A45DB" w:rsidP="004A45DB">
            <w:pPr>
              <w:ind w:left="800" w:hangingChars="400" w:hanging="800"/>
              <w:rPr>
                <w:rFonts w:ascii="標楷體" w:eastAsia="標楷體" w:hAnsi="標楷體"/>
                <w:sz w:val="20"/>
                <w:szCs w:val="20"/>
                <w:lang w:val="de-DE"/>
              </w:rPr>
            </w:pPr>
            <w:r w:rsidRPr="003627CF">
              <w:rPr>
                <w:rFonts w:ascii="標楷體" w:eastAsia="標楷體" w:hAnsi="標楷體" w:hint="eastAsia"/>
                <w:sz w:val="20"/>
                <w:szCs w:val="20"/>
              </w:rPr>
              <w:t>題  目：</w:t>
            </w:r>
            <w:r w:rsidR="00FB5281">
              <w:rPr>
                <w:rFonts w:ascii="標楷體" w:eastAsia="標楷體" w:hAnsi="標楷體" w:hint="eastAsia"/>
                <w:sz w:val="20"/>
                <w:szCs w:val="20"/>
              </w:rPr>
              <w:t>釋字第</w:t>
            </w:r>
            <w:r w:rsidR="00FB5281">
              <w:rPr>
                <w:rFonts w:ascii="標楷體" w:eastAsia="標楷體" w:hAnsi="標楷體"/>
                <w:sz w:val="20"/>
                <w:szCs w:val="20"/>
                <w:lang w:val="de-DE"/>
              </w:rPr>
              <w:t>781-783</w:t>
            </w:r>
            <w:r w:rsidR="00FB5281">
              <w:rPr>
                <w:rFonts w:ascii="標楷體" w:eastAsia="標楷體" w:hAnsi="標楷體" w:hint="eastAsia"/>
                <w:sz w:val="20"/>
                <w:szCs w:val="20"/>
                <w:lang w:val="de-DE"/>
              </w:rPr>
              <w:t>號解釋對勞工</w:t>
            </w:r>
            <w:r w:rsidR="00082F45">
              <w:rPr>
                <w:rFonts w:ascii="標楷體" w:eastAsia="標楷體" w:hAnsi="標楷體" w:hint="eastAsia"/>
                <w:sz w:val="20"/>
                <w:szCs w:val="20"/>
                <w:lang w:val="de-DE"/>
              </w:rPr>
              <w:t>保險條例及勞工退休金條例</w:t>
            </w:r>
            <w:r w:rsidR="00FB5281">
              <w:rPr>
                <w:rFonts w:ascii="標楷體" w:eastAsia="標楷體" w:hAnsi="標楷體" w:hint="eastAsia"/>
                <w:sz w:val="20"/>
                <w:szCs w:val="20"/>
                <w:lang w:val="de-DE"/>
              </w:rPr>
              <w:t>未來發展的意義</w:t>
            </w:r>
          </w:p>
          <w:p w:rsidR="004A45DB" w:rsidRPr="00562F65" w:rsidRDefault="004A45DB" w:rsidP="004A45DB">
            <w:pPr>
              <w:rPr>
                <w:rFonts w:ascii="標楷體" w:eastAsia="標楷體" w:hAnsi="標楷體"/>
                <w:sz w:val="20"/>
                <w:szCs w:val="20"/>
                <w:lang w:val="de-DE"/>
              </w:rPr>
            </w:pPr>
            <w:r w:rsidRPr="003627CF">
              <w:rPr>
                <w:rFonts w:ascii="標楷體" w:eastAsia="標楷體" w:hAnsi="標楷體" w:hint="eastAsia"/>
                <w:sz w:val="20"/>
                <w:szCs w:val="20"/>
              </w:rPr>
              <w:t>報告人：</w:t>
            </w:r>
            <w:r w:rsidR="00562F65">
              <w:rPr>
                <w:rFonts w:ascii="標楷體" w:eastAsia="標楷體" w:hAnsi="標楷體" w:hint="eastAsia"/>
                <w:sz w:val="20"/>
                <w:szCs w:val="20"/>
              </w:rPr>
              <w:t>吳明孝</w:t>
            </w:r>
            <w:r w:rsidR="00E73D33">
              <w:rPr>
                <w:rFonts w:ascii="標楷體" w:eastAsia="標楷體" w:hAnsi="標楷體" w:hint="eastAsia"/>
                <w:sz w:val="20"/>
                <w:szCs w:val="20"/>
              </w:rPr>
              <w:t>（</w:t>
            </w:r>
            <w:r w:rsidR="00834867">
              <w:rPr>
                <w:rFonts w:ascii="標楷體" w:eastAsia="標楷體" w:hAnsi="標楷體" w:hint="eastAsia"/>
                <w:sz w:val="20"/>
                <w:szCs w:val="20"/>
              </w:rPr>
              <w:t>義守大學公共政策與管理系助理教授</w:t>
            </w:r>
            <w:r w:rsidR="00E73D33">
              <w:rPr>
                <w:rFonts w:ascii="標楷體" w:eastAsia="標楷體" w:hAnsi="標楷體" w:hint="eastAsia"/>
                <w:sz w:val="20"/>
                <w:szCs w:val="20"/>
              </w:rPr>
              <w:t>）</w:t>
            </w:r>
          </w:p>
          <w:p w:rsidR="004A45DB" w:rsidRPr="00660911" w:rsidRDefault="004A45DB" w:rsidP="004A45DB">
            <w:pPr>
              <w:rPr>
                <w:rFonts w:ascii="標楷體" w:eastAsia="標楷體" w:hAnsi="標楷體"/>
                <w:sz w:val="20"/>
                <w:szCs w:val="20"/>
              </w:rPr>
            </w:pPr>
          </w:p>
          <w:p w:rsidR="004A45DB" w:rsidRPr="003627CF" w:rsidRDefault="004A45DB" w:rsidP="004A45DB">
            <w:pPr>
              <w:rPr>
                <w:rFonts w:ascii="標楷體" w:eastAsia="標楷體" w:hAnsi="標楷體"/>
                <w:sz w:val="20"/>
                <w:szCs w:val="20"/>
              </w:rPr>
            </w:pPr>
            <w:r w:rsidRPr="003627CF">
              <w:rPr>
                <w:rFonts w:ascii="標楷體" w:eastAsia="標楷體" w:hAnsi="標楷體" w:hint="eastAsia"/>
                <w:sz w:val="20"/>
                <w:szCs w:val="20"/>
              </w:rPr>
              <w:t>與談人：</w:t>
            </w:r>
            <w:r w:rsidR="00DC766D">
              <w:rPr>
                <w:rFonts w:ascii="標楷體" w:eastAsia="標楷體" w:hAnsi="標楷體" w:hint="eastAsia"/>
                <w:sz w:val="20"/>
                <w:szCs w:val="20"/>
              </w:rPr>
              <w:t>鍾秉正</w:t>
            </w:r>
            <w:r w:rsidR="00834867">
              <w:rPr>
                <w:rFonts w:ascii="標楷體" w:eastAsia="標楷體" w:hAnsi="標楷體" w:hint="eastAsia"/>
                <w:sz w:val="20"/>
                <w:szCs w:val="20"/>
              </w:rPr>
              <w:t>（國立國防大學法律系教授）</w:t>
            </w:r>
          </w:p>
          <w:p w:rsidR="00FD7A2A" w:rsidRDefault="004A45DB" w:rsidP="009755BD">
            <w:pPr>
              <w:rPr>
                <w:rFonts w:ascii="標楷體" w:eastAsia="標楷體" w:hAnsi="標楷體"/>
                <w:sz w:val="20"/>
                <w:szCs w:val="20"/>
              </w:rPr>
            </w:pPr>
            <w:r w:rsidRPr="003627CF">
              <w:rPr>
                <w:rFonts w:ascii="標楷體" w:eastAsia="標楷體" w:hAnsi="標楷體" w:hint="eastAsia"/>
                <w:sz w:val="20"/>
                <w:szCs w:val="20"/>
              </w:rPr>
              <w:t>與談人：</w:t>
            </w:r>
            <w:r w:rsidR="00DC766D">
              <w:rPr>
                <w:rFonts w:ascii="標楷體" w:eastAsia="標楷體" w:hAnsi="標楷體" w:hint="eastAsia"/>
                <w:sz w:val="20"/>
                <w:szCs w:val="20"/>
              </w:rPr>
              <w:t>邵惠玲</w:t>
            </w:r>
            <w:r w:rsidR="00834867">
              <w:rPr>
                <w:rFonts w:ascii="標楷體" w:eastAsia="標楷體" w:hAnsi="標楷體" w:hint="eastAsia"/>
                <w:sz w:val="20"/>
                <w:szCs w:val="20"/>
              </w:rPr>
              <w:t>（國立高雄大學政治法律系副教授兼系主任）</w:t>
            </w:r>
          </w:p>
          <w:p w:rsidR="00FB5281" w:rsidRDefault="00FB5281" w:rsidP="009755BD">
            <w:pPr>
              <w:rPr>
                <w:rFonts w:ascii="標楷體" w:eastAsia="標楷體" w:hAnsi="標楷體"/>
                <w:sz w:val="20"/>
                <w:szCs w:val="20"/>
              </w:rPr>
            </w:pPr>
          </w:p>
          <w:p w:rsidR="00FB5281" w:rsidRPr="004A45DB" w:rsidRDefault="00FB5281" w:rsidP="009755BD">
            <w:pPr>
              <w:rPr>
                <w:rFonts w:ascii="標楷體" w:eastAsia="標楷體" w:hAnsi="標楷體"/>
                <w:sz w:val="20"/>
                <w:szCs w:val="20"/>
              </w:rPr>
            </w:pPr>
            <w:r>
              <w:rPr>
                <w:rFonts w:ascii="標楷體" w:eastAsia="標楷體" w:hAnsi="標楷體" w:hint="eastAsia"/>
                <w:sz w:val="20"/>
                <w:szCs w:val="20"/>
              </w:rPr>
              <w:t>提問與討論</w:t>
            </w:r>
          </w:p>
        </w:tc>
      </w:tr>
      <w:tr w:rsidR="00FD7A2A" w:rsidRPr="003627CF" w:rsidTr="009F05E6">
        <w:trPr>
          <w:trHeight w:val="289"/>
        </w:trPr>
        <w:tc>
          <w:tcPr>
            <w:tcW w:w="1811" w:type="dxa"/>
            <w:vAlign w:val="center"/>
          </w:tcPr>
          <w:p w:rsidR="00FD7A2A" w:rsidRPr="003627CF" w:rsidRDefault="00FD7A2A" w:rsidP="009F05E6">
            <w:pPr>
              <w:jc w:val="center"/>
              <w:rPr>
                <w:rFonts w:ascii="標楷體" w:eastAsia="標楷體" w:hAnsi="標楷體"/>
                <w:sz w:val="20"/>
                <w:szCs w:val="20"/>
              </w:rPr>
            </w:pPr>
            <w:r w:rsidRPr="003627CF">
              <w:rPr>
                <w:rFonts w:ascii="標楷體" w:eastAsia="標楷體" w:hAnsi="標楷體"/>
                <w:sz w:val="20"/>
                <w:szCs w:val="20"/>
              </w:rPr>
              <w:t>10:</w:t>
            </w:r>
            <w:r w:rsidR="004A45DB">
              <w:rPr>
                <w:rFonts w:ascii="標楷體" w:eastAsia="標楷體" w:hAnsi="標楷體" w:hint="eastAsia"/>
                <w:sz w:val="20"/>
                <w:szCs w:val="20"/>
              </w:rPr>
              <w:t>5</w:t>
            </w:r>
            <w:r w:rsidR="004A45DB">
              <w:rPr>
                <w:rFonts w:ascii="標楷體" w:eastAsia="標楷體" w:hAnsi="標楷體"/>
                <w:sz w:val="20"/>
                <w:szCs w:val="20"/>
              </w:rPr>
              <w:t>0~1</w:t>
            </w:r>
            <w:r w:rsidR="004A45DB">
              <w:rPr>
                <w:rFonts w:ascii="標楷體" w:eastAsia="標楷體" w:hAnsi="標楷體" w:hint="eastAsia"/>
                <w:sz w:val="20"/>
                <w:szCs w:val="20"/>
              </w:rPr>
              <w:t>1</w:t>
            </w:r>
            <w:r w:rsidRPr="003627CF">
              <w:rPr>
                <w:rFonts w:ascii="標楷體" w:eastAsia="標楷體" w:hAnsi="標楷體"/>
                <w:sz w:val="20"/>
                <w:szCs w:val="20"/>
              </w:rPr>
              <w:t>:</w:t>
            </w:r>
            <w:r w:rsidR="004A45DB">
              <w:rPr>
                <w:rFonts w:ascii="標楷體" w:eastAsia="標楷體" w:hAnsi="標楷體" w:hint="eastAsia"/>
                <w:sz w:val="20"/>
                <w:szCs w:val="20"/>
              </w:rPr>
              <w:t>1</w:t>
            </w:r>
            <w:r w:rsidRPr="003627CF">
              <w:rPr>
                <w:rFonts w:ascii="標楷體" w:eastAsia="標楷體" w:hAnsi="標楷體"/>
                <w:sz w:val="20"/>
                <w:szCs w:val="20"/>
              </w:rPr>
              <w:t>0</w:t>
            </w:r>
          </w:p>
        </w:tc>
        <w:tc>
          <w:tcPr>
            <w:tcW w:w="6561" w:type="dxa"/>
          </w:tcPr>
          <w:p w:rsidR="00FD7A2A" w:rsidRPr="003627CF" w:rsidRDefault="004A45DB" w:rsidP="0076443A">
            <w:pPr>
              <w:rPr>
                <w:rFonts w:ascii="標楷體" w:eastAsia="標楷體" w:hAnsi="標楷體"/>
                <w:sz w:val="20"/>
                <w:szCs w:val="20"/>
              </w:rPr>
            </w:pPr>
            <w:r>
              <w:rPr>
                <w:rFonts w:ascii="標楷體" w:eastAsia="標楷體" w:hAnsi="標楷體" w:hint="eastAsia"/>
                <w:sz w:val="20"/>
                <w:szCs w:val="20"/>
              </w:rPr>
              <w:t>休息</w:t>
            </w:r>
          </w:p>
        </w:tc>
      </w:tr>
      <w:tr w:rsidR="00D437F7" w:rsidRPr="003627CF" w:rsidTr="004A45DB">
        <w:trPr>
          <w:trHeight w:val="3704"/>
        </w:trPr>
        <w:tc>
          <w:tcPr>
            <w:tcW w:w="1811" w:type="dxa"/>
            <w:vAlign w:val="center"/>
          </w:tcPr>
          <w:p w:rsidR="00D437F7" w:rsidRPr="003627CF" w:rsidRDefault="004A45DB" w:rsidP="00AE4470">
            <w:pPr>
              <w:jc w:val="center"/>
              <w:rPr>
                <w:rFonts w:ascii="標楷體" w:eastAsia="標楷體" w:hAnsi="標楷體"/>
                <w:sz w:val="20"/>
                <w:szCs w:val="20"/>
              </w:rPr>
            </w:pPr>
            <w:r>
              <w:rPr>
                <w:rFonts w:ascii="標楷體" w:eastAsia="標楷體" w:hAnsi="標楷體" w:hint="eastAsia"/>
                <w:sz w:val="20"/>
                <w:szCs w:val="20"/>
              </w:rPr>
              <w:t>第二</w:t>
            </w:r>
            <w:r w:rsidR="009F05E6" w:rsidRPr="003627CF">
              <w:rPr>
                <w:rFonts w:ascii="標楷體" w:eastAsia="標楷體" w:hAnsi="標楷體" w:hint="eastAsia"/>
                <w:sz w:val="20"/>
                <w:szCs w:val="20"/>
              </w:rPr>
              <w:t>場次</w:t>
            </w:r>
            <w:r>
              <w:rPr>
                <w:rFonts w:ascii="標楷體" w:eastAsia="標楷體" w:hAnsi="標楷體"/>
                <w:sz w:val="20"/>
                <w:szCs w:val="20"/>
              </w:rPr>
              <w:t>1</w:t>
            </w:r>
            <w:r>
              <w:rPr>
                <w:rFonts w:ascii="標楷體" w:eastAsia="標楷體" w:hAnsi="標楷體" w:hint="eastAsia"/>
                <w:sz w:val="20"/>
                <w:szCs w:val="20"/>
              </w:rPr>
              <w:t>1</w:t>
            </w:r>
            <w:r w:rsidR="00D437F7" w:rsidRPr="003627CF">
              <w:rPr>
                <w:rFonts w:ascii="標楷體" w:eastAsia="標楷體" w:hAnsi="標楷體"/>
                <w:sz w:val="20"/>
                <w:szCs w:val="20"/>
              </w:rPr>
              <w:t>:</w:t>
            </w:r>
            <w:r>
              <w:rPr>
                <w:rFonts w:ascii="標楷體" w:eastAsia="標楷體" w:hAnsi="標楷體" w:hint="eastAsia"/>
                <w:sz w:val="20"/>
                <w:szCs w:val="20"/>
              </w:rPr>
              <w:t>1</w:t>
            </w:r>
            <w:r>
              <w:rPr>
                <w:rFonts w:ascii="標楷體" w:eastAsia="標楷體" w:hAnsi="標楷體"/>
                <w:sz w:val="20"/>
                <w:szCs w:val="20"/>
              </w:rPr>
              <w:t>0~12:</w:t>
            </w:r>
            <w:r>
              <w:rPr>
                <w:rFonts w:ascii="標楷體" w:eastAsia="標楷體" w:hAnsi="標楷體" w:hint="eastAsia"/>
                <w:sz w:val="20"/>
                <w:szCs w:val="20"/>
              </w:rPr>
              <w:t>3</w:t>
            </w:r>
            <w:r w:rsidR="00D437F7" w:rsidRPr="003627CF">
              <w:rPr>
                <w:rFonts w:ascii="標楷體" w:eastAsia="標楷體" w:hAnsi="標楷體" w:hint="eastAsia"/>
                <w:sz w:val="20"/>
                <w:szCs w:val="20"/>
              </w:rPr>
              <w:t>0</w:t>
            </w:r>
          </w:p>
        </w:tc>
        <w:tc>
          <w:tcPr>
            <w:tcW w:w="6561" w:type="dxa"/>
          </w:tcPr>
          <w:p w:rsidR="00755080" w:rsidRPr="003627CF" w:rsidRDefault="004A45DB" w:rsidP="00755080">
            <w:pPr>
              <w:rPr>
                <w:rFonts w:ascii="標楷體" w:eastAsia="標楷體" w:hAnsi="標楷體"/>
                <w:sz w:val="20"/>
                <w:szCs w:val="20"/>
              </w:rPr>
            </w:pPr>
            <w:r>
              <w:rPr>
                <w:rFonts w:ascii="標楷體" w:eastAsia="標楷體" w:hAnsi="標楷體" w:hint="eastAsia"/>
                <w:sz w:val="20"/>
                <w:szCs w:val="20"/>
              </w:rPr>
              <w:t>主持人：</w:t>
            </w:r>
            <w:r w:rsidR="003F2504">
              <w:rPr>
                <w:rFonts w:ascii="標楷體" w:eastAsia="標楷體" w:hAnsi="標楷體" w:hint="eastAsia"/>
                <w:sz w:val="20"/>
                <w:szCs w:val="20"/>
              </w:rPr>
              <w:t>蔡維音</w:t>
            </w:r>
            <w:r w:rsidR="00834867">
              <w:rPr>
                <w:rFonts w:ascii="標楷體" w:eastAsia="標楷體" w:hAnsi="標楷體" w:hint="eastAsia"/>
                <w:sz w:val="20"/>
                <w:szCs w:val="20"/>
              </w:rPr>
              <w:t>（國立成功大學法律系教授）</w:t>
            </w:r>
          </w:p>
          <w:p w:rsidR="00755080" w:rsidRPr="003627CF" w:rsidRDefault="00755080" w:rsidP="00755080">
            <w:pPr>
              <w:rPr>
                <w:rFonts w:ascii="標楷體" w:eastAsia="標楷體" w:hAnsi="標楷體"/>
                <w:sz w:val="20"/>
                <w:szCs w:val="20"/>
              </w:rPr>
            </w:pPr>
          </w:p>
          <w:p w:rsidR="005A6136" w:rsidRPr="003627CF" w:rsidRDefault="005A6136" w:rsidP="005A6136">
            <w:pPr>
              <w:ind w:left="800" w:hangingChars="400" w:hanging="800"/>
              <w:rPr>
                <w:rFonts w:ascii="標楷體" w:eastAsia="標楷體" w:hAnsi="標楷體"/>
                <w:sz w:val="20"/>
                <w:szCs w:val="20"/>
              </w:rPr>
            </w:pPr>
            <w:r w:rsidRPr="003627CF">
              <w:rPr>
                <w:rFonts w:ascii="標楷體" w:eastAsia="標楷體" w:hAnsi="標楷體" w:hint="eastAsia"/>
                <w:sz w:val="20"/>
                <w:szCs w:val="20"/>
              </w:rPr>
              <w:t>題  目：</w:t>
            </w:r>
            <w:r w:rsidR="0070603B">
              <w:rPr>
                <w:rFonts w:ascii="標楷體" w:eastAsia="標楷體" w:hAnsi="標楷體" w:hint="eastAsia"/>
                <w:sz w:val="20"/>
                <w:szCs w:val="20"/>
              </w:rPr>
              <w:t>美國各州公務員退休年金改革</w:t>
            </w:r>
            <w:r w:rsidR="00FB5281">
              <w:rPr>
                <w:rFonts w:ascii="標楷體" w:eastAsia="標楷體" w:hAnsi="標楷體" w:hint="eastAsia"/>
                <w:sz w:val="20"/>
                <w:szCs w:val="20"/>
              </w:rPr>
              <w:t>之憲法爭議</w:t>
            </w:r>
          </w:p>
          <w:p w:rsidR="0070603B" w:rsidRPr="003627CF" w:rsidRDefault="005A6136" w:rsidP="0070603B">
            <w:pPr>
              <w:rPr>
                <w:rFonts w:ascii="標楷體" w:eastAsia="標楷體" w:hAnsi="標楷體"/>
                <w:sz w:val="20"/>
                <w:szCs w:val="20"/>
              </w:rPr>
            </w:pPr>
            <w:r w:rsidRPr="003627CF">
              <w:rPr>
                <w:rFonts w:ascii="標楷體" w:eastAsia="標楷體" w:hAnsi="標楷體" w:hint="eastAsia"/>
                <w:sz w:val="20"/>
                <w:szCs w:val="20"/>
              </w:rPr>
              <w:t>報告人：</w:t>
            </w:r>
            <w:r w:rsidR="00EB5028">
              <w:rPr>
                <w:rFonts w:ascii="標楷體" w:eastAsia="標楷體" w:hAnsi="標楷體" w:hint="eastAsia"/>
                <w:sz w:val="20"/>
                <w:szCs w:val="20"/>
              </w:rPr>
              <w:t>劉靜怡</w:t>
            </w:r>
            <w:r w:rsidR="00834867">
              <w:rPr>
                <w:rFonts w:ascii="標楷體" w:eastAsia="標楷體" w:hAnsi="標楷體" w:hint="eastAsia"/>
                <w:sz w:val="20"/>
                <w:szCs w:val="20"/>
              </w:rPr>
              <w:t>（國立台灣大學國家發展研究所教授）</w:t>
            </w:r>
          </w:p>
          <w:p w:rsidR="00B90957" w:rsidRDefault="00B90957" w:rsidP="00B90957">
            <w:pPr>
              <w:ind w:left="800" w:hangingChars="400" w:hanging="800"/>
              <w:rPr>
                <w:rFonts w:ascii="標楷體" w:eastAsia="標楷體" w:hAnsi="標楷體"/>
                <w:sz w:val="20"/>
                <w:szCs w:val="20"/>
              </w:rPr>
            </w:pPr>
          </w:p>
          <w:p w:rsidR="00755080" w:rsidRPr="002F2BBD" w:rsidRDefault="00755080" w:rsidP="00755080">
            <w:pPr>
              <w:rPr>
                <w:rFonts w:ascii="標楷體" w:eastAsia="標楷體" w:hAnsi="標楷體"/>
                <w:color w:val="548DD4" w:themeColor="text2" w:themeTint="99"/>
                <w:sz w:val="20"/>
                <w:szCs w:val="20"/>
              </w:rPr>
            </w:pPr>
            <w:r w:rsidRPr="003627CF">
              <w:rPr>
                <w:rFonts w:ascii="標楷體" w:eastAsia="標楷體" w:hAnsi="標楷體" w:hint="eastAsia"/>
                <w:sz w:val="20"/>
                <w:szCs w:val="20"/>
              </w:rPr>
              <w:t>與談人：</w:t>
            </w:r>
            <w:r w:rsidR="00FC58D3">
              <w:rPr>
                <w:rFonts w:ascii="標楷體" w:eastAsia="標楷體" w:hAnsi="標楷體" w:hint="eastAsia"/>
                <w:sz w:val="20"/>
                <w:szCs w:val="20"/>
              </w:rPr>
              <w:t>林佳和</w:t>
            </w:r>
            <w:r w:rsidR="00834867">
              <w:rPr>
                <w:rFonts w:ascii="標楷體" w:eastAsia="標楷體" w:hAnsi="標楷體" w:hint="eastAsia"/>
                <w:sz w:val="20"/>
                <w:szCs w:val="20"/>
              </w:rPr>
              <w:t>（國立政治大學法律學院副教授）</w:t>
            </w:r>
          </w:p>
          <w:p w:rsidR="00D437F7" w:rsidRDefault="00A4625B" w:rsidP="00C21EDD">
            <w:pPr>
              <w:rPr>
                <w:rFonts w:ascii="標楷體" w:eastAsia="標楷體" w:hAnsi="標楷體"/>
                <w:sz w:val="20"/>
                <w:szCs w:val="20"/>
              </w:rPr>
            </w:pPr>
            <w:r>
              <w:rPr>
                <w:rFonts w:ascii="標楷體" w:eastAsia="標楷體" w:hAnsi="標楷體" w:hint="eastAsia"/>
                <w:sz w:val="20"/>
                <w:szCs w:val="20"/>
              </w:rPr>
              <w:t>與談人：</w:t>
            </w:r>
            <w:r w:rsidR="00A71152">
              <w:rPr>
                <w:rFonts w:ascii="標楷體" w:eastAsia="標楷體" w:hAnsi="標楷體" w:hint="eastAsia"/>
                <w:sz w:val="20"/>
                <w:szCs w:val="20"/>
              </w:rPr>
              <w:t>林昱梅（國立中興大學法律系教授兼系主任）</w:t>
            </w:r>
          </w:p>
          <w:p w:rsidR="00A71152" w:rsidRPr="00834867" w:rsidRDefault="00A71152" w:rsidP="00C21EDD">
            <w:pPr>
              <w:rPr>
                <w:rFonts w:ascii="標楷體" w:eastAsia="標楷體" w:hAnsi="標楷體"/>
                <w:color w:val="000000" w:themeColor="text1"/>
                <w:sz w:val="20"/>
                <w:szCs w:val="20"/>
              </w:rPr>
            </w:pPr>
          </w:p>
          <w:p w:rsidR="00FB5281" w:rsidRPr="003627CF" w:rsidRDefault="00FB5281" w:rsidP="00C21EDD">
            <w:pPr>
              <w:rPr>
                <w:rFonts w:ascii="標楷體" w:eastAsia="標楷體" w:hAnsi="標楷體"/>
                <w:sz w:val="20"/>
                <w:szCs w:val="20"/>
              </w:rPr>
            </w:pPr>
            <w:r>
              <w:rPr>
                <w:rFonts w:ascii="標楷體" w:eastAsia="標楷體" w:hAnsi="標楷體" w:hint="eastAsia"/>
                <w:sz w:val="20"/>
                <w:szCs w:val="20"/>
              </w:rPr>
              <w:t>提問與討論</w:t>
            </w:r>
          </w:p>
        </w:tc>
      </w:tr>
      <w:tr w:rsidR="00FD7A2A" w:rsidRPr="003627CF" w:rsidTr="009F05E6">
        <w:trPr>
          <w:trHeight w:val="289"/>
        </w:trPr>
        <w:tc>
          <w:tcPr>
            <w:tcW w:w="1811" w:type="dxa"/>
            <w:vAlign w:val="center"/>
          </w:tcPr>
          <w:p w:rsidR="00FD7A2A" w:rsidRPr="003627CF" w:rsidRDefault="004A45DB" w:rsidP="009F05E6">
            <w:pPr>
              <w:jc w:val="center"/>
              <w:rPr>
                <w:rFonts w:ascii="標楷體" w:eastAsia="標楷體" w:hAnsi="標楷體"/>
                <w:sz w:val="20"/>
                <w:szCs w:val="20"/>
              </w:rPr>
            </w:pPr>
            <w:r>
              <w:rPr>
                <w:rFonts w:ascii="標楷體" w:eastAsia="標楷體" w:hAnsi="標楷體"/>
                <w:sz w:val="20"/>
                <w:szCs w:val="20"/>
              </w:rPr>
              <w:t>12:</w:t>
            </w:r>
            <w:r>
              <w:rPr>
                <w:rFonts w:ascii="標楷體" w:eastAsia="標楷體" w:hAnsi="標楷體" w:hint="eastAsia"/>
                <w:sz w:val="20"/>
                <w:szCs w:val="20"/>
              </w:rPr>
              <w:t>3</w:t>
            </w:r>
            <w:r w:rsidR="009F05E6" w:rsidRPr="003627CF">
              <w:rPr>
                <w:rFonts w:ascii="標楷體" w:eastAsia="標楷體" w:hAnsi="標楷體" w:hint="eastAsia"/>
                <w:sz w:val="20"/>
                <w:szCs w:val="20"/>
              </w:rPr>
              <w:t>0</w:t>
            </w:r>
            <w:r w:rsidR="00FD7A2A" w:rsidRPr="003627CF">
              <w:rPr>
                <w:rFonts w:ascii="標楷體" w:eastAsia="標楷體" w:hAnsi="標楷體"/>
                <w:sz w:val="20"/>
                <w:szCs w:val="20"/>
              </w:rPr>
              <w:t>~13:30</w:t>
            </w:r>
          </w:p>
        </w:tc>
        <w:tc>
          <w:tcPr>
            <w:tcW w:w="6561" w:type="dxa"/>
          </w:tcPr>
          <w:p w:rsidR="00FD7A2A" w:rsidRPr="003627CF" w:rsidRDefault="009F05E6" w:rsidP="00D437F7">
            <w:pPr>
              <w:rPr>
                <w:rFonts w:ascii="標楷體" w:eastAsia="標楷體" w:hAnsi="標楷體"/>
                <w:sz w:val="20"/>
                <w:szCs w:val="20"/>
              </w:rPr>
            </w:pPr>
            <w:r w:rsidRPr="003627CF">
              <w:rPr>
                <w:rFonts w:ascii="標楷體" w:eastAsia="標楷體" w:hAnsi="標楷體" w:hint="eastAsia"/>
                <w:sz w:val="20"/>
                <w:szCs w:val="20"/>
              </w:rPr>
              <w:t>午休</w:t>
            </w:r>
          </w:p>
        </w:tc>
      </w:tr>
      <w:tr w:rsidR="00D437F7" w:rsidRPr="003627CF" w:rsidTr="009F05E6">
        <w:trPr>
          <w:trHeight w:val="699"/>
        </w:trPr>
        <w:tc>
          <w:tcPr>
            <w:tcW w:w="1811" w:type="dxa"/>
            <w:vAlign w:val="center"/>
          </w:tcPr>
          <w:p w:rsidR="00D437F7" w:rsidRPr="003627CF" w:rsidRDefault="004A45DB" w:rsidP="009F05E6">
            <w:pPr>
              <w:jc w:val="center"/>
              <w:rPr>
                <w:rFonts w:ascii="標楷體" w:eastAsia="標楷體" w:hAnsi="標楷體"/>
                <w:sz w:val="20"/>
                <w:szCs w:val="20"/>
              </w:rPr>
            </w:pPr>
            <w:r>
              <w:rPr>
                <w:rFonts w:ascii="標楷體" w:eastAsia="標楷體" w:hAnsi="標楷體" w:hint="eastAsia"/>
                <w:sz w:val="20"/>
                <w:szCs w:val="20"/>
              </w:rPr>
              <w:t>第三</w:t>
            </w:r>
            <w:r w:rsidR="009F05E6" w:rsidRPr="003627CF">
              <w:rPr>
                <w:rFonts w:ascii="標楷體" w:eastAsia="標楷體" w:hAnsi="標楷體" w:hint="eastAsia"/>
                <w:sz w:val="20"/>
                <w:szCs w:val="20"/>
              </w:rPr>
              <w:t>場次</w:t>
            </w:r>
            <w:r>
              <w:rPr>
                <w:rFonts w:ascii="標楷體" w:eastAsia="標楷體" w:hAnsi="標楷體"/>
                <w:sz w:val="20"/>
                <w:szCs w:val="20"/>
              </w:rPr>
              <w:t>13:30~1</w:t>
            </w:r>
            <w:r>
              <w:rPr>
                <w:rFonts w:ascii="標楷體" w:eastAsia="標楷體" w:hAnsi="標楷體" w:hint="eastAsia"/>
                <w:sz w:val="20"/>
                <w:szCs w:val="20"/>
              </w:rPr>
              <w:t>4</w:t>
            </w:r>
            <w:r w:rsidR="00D437F7" w:rsidRPr="003627CF">
              <w:rPr>
                <w:rFonts w:ascii="標楷體" w:eastAsia="標楷體" w:hAnsi="標楷體"/>
                <w:sz w:val="20"/>
                <w:szCs w:val="20"/>
              </w:rPr>
              <w:t>:</w:t>
            </w:r>
            <w:r>
              <w:rPr>
                <w:rFonts w:ascii="標楷體" w:eastAsia="標楷體" w:hAnsi="標楷體" w:hint="eastAsia"/>
                <w:sz w:val="20"/>
                <w:szCs w:val="20"/>
              </w:rPr>
              <w:t>5</w:t>
            </w:r>
            <w:r w:rsidR="00D437F7" w:rsidRPr="003627CF">
              <w:rPr>
                <w:rFonts w:ascii="標楷體" w:eastAsia="標楷體" w:hAnsi="標楷體" w:hint="eastAsia"/>
                <w:sz w:val="20"/>
                <w:szCs w:val="20"/>
              </w:rPr>
              <w:t>0</w:t>
            </w:r>
          </w:p>
        </w:tc>
        <w:tc>
          <w:tcPr>
            <w:tcW w:w="6561" w:type="dxa"/>
          </w:tcPr>
          <w:p w:rsidR="002F2BBD" w:rsidRPr="002F2BBD" w:rsidRDefault="00D43ABD" w:rsidP="00984116">
            <w:pPr>
              <w:rPr>
                <w:rFonts w:ascii="標楷體" w:eastAsia="標楷體" w:hAnsi="標楷體"/>
                <w:color w:val="548DD4" w:themeColor="text2" w:themeTint="99"/>
                <w:sz w:val="20"/>
                <w:szCs w:val="20"/>
              </w:rPr>
            </w:pPr>
            <w:r w:rsidRPr="003627CF">
              <w:rPr>
                <w:rFonts w:ascii="標楷體" w:eastAsia="標楷體" w:hAnsi="標楷體" w:hint="eastAsia"/>
                <w:sz w:val="20"/>
                <w:szCs w:val="20"/>
              </w:rPr>
              <w:t>主持人：</w:t>
            </w:r>
            <w:r w:rsidR="00E26FEC" w:rsidRPr="002F2BBD">
              <w:rPr>
                <w:rFonts w:ascii="標楷體" w:eastAsia="標楷體" w:hAnsi="標楷體" w:hint="eastAsia"/>
                <w:color w:val="000000" w:themeColor="text1"/>
                <w:sz w:val="20"/>
                <w:szCs w:val="20"/>
              </w:rPr>
              <w:t>林明昕</w:t>
            </w:r>
            <w:r w:rsidR="00834867">
              <w:rPr>
                <w:rFonts w:ascii="標楷體" w:eastAsia="標楷體" w:hAnsi="標楷體" w:hint="eastAsia"/>
                <w:color w:val="000000" w:themeColor="text1"/>
                <w:sz w:val="20"/>
                <w:szCs w:val="20"/>
              </w:rPr>
              <w:t>（國立台灣大學法律學院教授）</w:t>
            </w:r>
          </w:p>
          <w:p w:rsidR="00FB5281" w:rsidRPr="00960243" w:rsidRDefault="00FB5281" w:rsidP="00984116">
            <w:pPr>
              <w:rPr>
                <w:rFonts w:ascii="標楷體" w:eastAsia="標楷體" w:hAnsi="標楷體"/>
                <w:sz w:val="20"/>
                <w:szCs w:val="20"/>
              </w:rPr>
            </w:pPr>
          </w:p>
          <w:p w:rsidR="00B90957" w:rsidRPr="003627CF" w:rsidRDefault="00B90957" w:rsidP="00B90957">
            <w:pPr>
              <w:rPr>
                <w:rFonts w:ascii="標楷體" w:eastAsia="標楷體" w:hAnsi="標楷體"/>
                <w:sz w:val="20"/>
                <w:szCs w:val="20"/>
              </w:rPr>
            </w:pPr>
            <w:r w:rsidRPr="003627CF">
              <w:rPr>
                <w:rFonts w:ascii="標楷體" w:eastAsia="標楷體" w:hAnsi="標楷體" w:hint="eastAsia"/>
                <w:sz w:val="20"/>
                <w:szCs w:val="20"/>
              </w:rPr>
              <w:t>題  目：</w:t>
            </w:r>
            <w:r w:rsidR="000E7ABC">
              <w:rPr>
                <w:rFonts w:ascii="標楷體" w:eastAsia="標楷體" w:hAnsi="標楷體" w:hint="eastAsia"/>
                <w:sz w:val="20"/>
                <w:szCs w:val="20"/>
              </w:rPr>
              <w:t>年改釋憲案之效力：再任私校退休軍公教人員之行政</w:t>
            </w:r>
            <w:r w:rsidR="00C96A2A">
              <w:rPr>
                <w:rFonts w:ascii="標楷體" w:eastAsia="標楷體" w:hAnsi="標楷體" w:hint="eastAsia"/>
                <w:sz w:val="20"/>
                <w:szCs w:val="20"/>
              </w:rPr>
              <w:t>救濟程序</w:t>
            </w:r>
          </w:p>
          <w:p w:rsidR="00B90957" w:rsidRPr="00A244B7" w:rsidRDefault="00B90957" w:rsidP="00B90957">
            <w:pPr>
              <w:rPr>
                <w:rFonts w:ascii="標楷體" w:eastAsia="標楷體" w:hAnsi="標楷體"/>
                <w:color w:val="548DD4" w:themeColor="text2" w:themeTint="99"/>
                <w:sz w:val="20"/>
                <w:szCs w:val="20"/>
              </w:rPr>
            </w:pPr>
            <w:r w:rsidRPr="003627CF">
              <w:rPr>
                <w:rFonts w:ascii="標楷體" w:eastAsia="標楷體" w:hAnsi="標楷體" w:hint="eastAsia"/>
                <w:sz w:val="20"/>
                <w:szCs w:val="20"/>
              </w:rPr>
              <w:t>報告人：</w:t>
            </w:r>
            <w:r w:rsidR="003F2504">
              <w:rPr>
                <w:rFonts w:ascii="標楷體" w:eastAsia="標楷體" w:hAnsi="標楷體" w:hint="eastAsia"/>
                <w:sz w:val="20"/>
                <w:szCs w:val="20"/>
              </w:rPr>
              <w:t>陳信安</w:t>
            </w:r>
            <w:r w:rsidR="00834867">
              <w:rPr>
                <w:rFonts w:ascii="標楷體" w:eastAsia="標楷體" w:hAnsi="標楷體" w:hint="eastAsia"/>
                <w:sz w:val="20"/>
                <w:szCs w:val="20"/>
              </w:rPr>
              <w:t>（國立中興大學法律系副教授）</w:t>
            </w:r>
          </w:p>
          <w:p w:rsidR="00B90957" w:rsidRDefault="00B90957" w:rsidP="00660911">
            <w:pPr>
              <w:rPr>
                <w:rFonts w:ascii="標楷體" w:eastAsia="標楷體" w:hAnsi="標楷體"/>
                <w:sz w:val="20"/>
                <w:szCs w:val="20"/>
              </w:rPr>
            </w:pPr>
          </w:p>
          <w:p w:rsidR="00D437F7" w:rsidRPr="003F2504" w:rsidRDefault="0052091B" w:rsidP="005C4E3F">
            <w:pPr>
              <w:rPr>
                <w:rFonts w:ascii="標楷體" w:eastAsia="標楷體" w:hAnsi="標楷體"/>
                <w:color w:val="000000" w:themeColor="text1"/>
                <w:sz w:val="20"/>
                <w:szCs w:val="20"/>
              </w:rPr>
            </w:pPr>
            <w:r w:rsidRPr="003627CF">
              <w:rPr>
                <w:rFonts w:ascii="標楷體" w:eastAsia="標楷體" w:hAnsi="標楷體" w:hint="eastAsia"/>
                <w:sz w:val="20"/>
                <w:szCs w:val="20"/>
              </w:rPr>
              <w:t>與談人：</w:t>
            </w:r>
            <w:r w:rsidR="003F2504">
              <w:rPr>
                <w:rFonts w:ascii="標楷體" w:eastAsia="標楷體" w:hAnsi="標楷體" w:hint="eastAsia"/>
                <w:color w:val="000000" w:themeColor="text1"/>
                <w:sz w:val="20"/>
                <w:szCs w:val="20"/>
              </w:rPr>
              <w:t>張桐銳</w:t>
            </w:r>
            <w:r w:rsidR="00834867">
              <w:rPr>
                <w:rFonts w:ascii="標楷體" w:eastAsia="標楷體" w:hAnsi="標楷體" w:hint="eastAsia"/>
                <w:sz w:val="20"/>
                <w:szCs w:val="20"/>
              </w:rPr>
              <w:t>（國立政治大學法律學院教授）</w:t>
            </w:r>
          </w:p>
          <w:p w:rsidR="000A7D1C" w:rsidRPr="003F2504" w:rsidRDefault="00D437F7" w:rsidP="00C21EDD">
            <w:pPr>
              <w:rPr>
                <w:rFonts w:ascii="標楷體" w:eastAsia="標楷體" w:hAnsi="標楷體"/>
                <w:color w:val="000000" w:themeColor="text1"/>
                <w:sz w:val="20"/>
                <w:szCs w:val="20"/>
                <w:lang w:val="de-DE"/>
              </w:rPr>
            </w:pPr>
            <w:r w:rsidRPr="003627CF">
              <w:rPr>
                <w:rFonts w:ascii="標楷體" w:eastAsia="標楷體" w:hAnsi="標楷體" w:hint="eastAsia"/>
                <w:sz w:val="20"/>
                <w:szCs w:val="20"/>
              </w:rPr>
              <w:t>與談人：</w:t>
            </w:r>
            <w:r w:rsidR="003F2504">
              <w:rPr>
                <w:rFonts w:ascii="標楷體" w:eastAsia="標楷體" w:hAnsi="標楷體" w:hint="eastAsia"/>
                <w:color w:val="000000" w:themeColor="text1"/>
                <w:sz w:val="20"/>
                <w:szCs w:val="20"/>
              </w:rPr>
              <w:t>王韻茹</w:t>
            </w:r>
            <w:r w:rsidR="00834867">
              <w:rPr>
                <w:rFonts w:ascii="標楷體" w:eastAsia="標楷體" w:hAnsi="標楷體" w:hint="eastAsia"/>
                <w:color w:val="000000" w:themeColor="text1"/>
                <w:sz w:val="20"/>
                <w:szCs w:val="20"/>
              </w:rPr>
              <w:t>（國立中正大學法律系教授）</w:t>
            </w:r>
          </w:p>
          <w:p w:rsidR="007D72C5" w:rsidRDefault="007D72C5" w:rsidP="00C21EDD">
            <w:pPr>
              <w:rPr>
                <w:rFonts w:ascii="標楷體" w:eastAsia="標楷體" w:hAnsi="標楷體"/>
                <w:sz w:val="20"/>
                <w:szCs w:val="20"/>
              </w:rPr>
            </w:pPr>
          </w:p>
          <w:p w:rsidR="007D72C5" w:rsidRPr="003627CF" w:rsidRDefault="007D72C5" w:rsidP="00C21EDD">
            <w:pPr>
              <w:rPr>
                <w:rFonts w:ascii="標楷體" w:eastAsia="標楷體" w:hAnsi="標楷體"/>
                <w:sz w:val="20"/>
                <w:szCs w:val="20"/>
              </w:rPr>
            </w:pPr>
            <w:r>
              <w:rPr>
                <w:rFonts w:ascii="標楷體" w:eastAsia="標楷體" w:hAnsi="標楷體" w:hint="eastAsia"/>
                <w:sz w:val="20"/>
                <w:szCs w:val="20"/>
              </w:rPr>
              <w:t>提問與討論</w:t>
            </w:r>
          </w:p>
        </w:tc>
      </w:tr>
      <w:tr w:rsidR="00FD7A2A" w:rsidRPr="003627CF" w:rsidTr="009F05E6">
        <w:trPr>
          <w:trHeight w:val="289"/>
        </w:trPr>
        <w:tc>
          <w:tcPr>
            <w:tcW w:w="1811" w:type="dxa"/>
            <w:vAlign w:val="center"/>
          </w:tcPr>
          <w:p w:rsidR="00FD7A2A" w:rsidRPr="003627CF" w:rsidRDefault="004A45DB" w:rsidP="009F05E6">
            <w:pPr>
              <w:jc w:val="center"/>
              <w:rPr>
                <w:rFonts w:ascii="標楷體" w:eastAsia="標楷體" w:hAnsi="標楷體"/>
                <w:sz w:val="20"/>
                <w:szCs w:val="20"/>
              </w:rPr>
            </w:pPr>
            <w:r>
              <w:rPr>
                <w:rFonts w:ascii="標楷體" w:eastAsia="標楷體" w:hAnsi="標楷體"/>
                <w:sz w:val="20"/>
                <w:szCs w:val="20"/>
              </w:rPr>
              <w:lastRenderedPageBreak/>
              <w:t>1</w:t>
            </w:r>
            <w:r>
              <w:rPr>
                <w:rFonts w:ascii="標楷體" w:eastAsia="標楷體" w:hAnsi="標楷體" w:hint="eastAsia"/>
                <w:sz w:val="20"/>
                <w:szCs w:val="20"/>
              </w:rPr>
              <w:t>4</w:t>
            </w:r>
            <w:r w:rsidR="00FD7A2A" w:rsidRPr="003627CF">
              <w:rPr>
                <w:rFonts w:ascii="標楷體" w:eastAsia="標楷體" w:hAnsi="標楷體"/>
                <w:sz w:val="20"/>
                <w:szCs w:val="20"/>
              </w:rPr>
              <w:t>:</w:t>
            </w:r>
            <w:r>
              <w:rPr>
                <w:rFonts w:ascii="標楷體" w:eastAsia="標楷體" w:hAnsi="標楷體" w:hint="eastAsia"/>
                <w:sz w:val="20"/>
                <w:szCs w:val="20"/>
              </w:rPr>
              <w:t>5</w:t>
            </w:r>
            <w:r w:rsidR="00D437F7" w:rsidRPr="003627CF">
              <w:rPr>
                <w:rFonts w:ascii="標楷體" w:eastAsia="標楷體" w:hAnsi="標楷體" w:hint="eastAsia"/>
                <w:sz w:val="20"/>
                <w:szCs w:val="20"/>
              </w:rPr>
              <w:t>0</w:t>
            </w:r>
            <w:r w:rsidR="00FD7A2A" w:rsidRPr="003627CF">
              <w:rPr>
                <w:rFonts w:ascii="標楷體" w:eastAsia="標楷體" w:hAnsi="標楷體"/>
                <w:sz w:val="20"/>
                <w:szCs w:val="20"/>
              </w:rPr>
              <w:t>~15:</w:t>
            </w:r>
            <w:r>
              <w:rPr>
                <w:rFonts w:ascii="標楷體" w:eastAsia="標楷體" w:hAnsi="標楷體" w:hint="eastAsia"/>
                <w:sz w:val="20"/>
                <w:szCs w:val="20"/>
              </w:rPr>
              <w:t>1</w:t>
            </w:r>
            <w:r w:rsidR="00D437F7" w:rsidRPr="003627CF">
              <w:rPr>
                <w:rFonts w:ascii="標楷體" w:eastAsia="標楷體" w:hAnsi="標楷體" w:hint="eastAsia"/>
                <w:sz w:val="20"/>
                <w:szCs w:val="20"/>
              </w:rPr>
              <w:t>0</w:t>
            </w:r>
          </w:p>
        </w:tc>
        <w:tc>
          <w:tcPr>
            <w:tcW w:w="6561" w:type="dxa"/>
          </w:tcPr>
          <w:p w:rsidR="00FD7A2A" w:rsidRPr="003627CF" w:rsidRDefault="004A45DB" w:rsidP="00D437F7">
            <w:pPr>
              <w:rPr>
                <w:rFonts w:ascii="標楷體" w:eastAsia="標楷體" w:hAnsi="標楷體"/>
                <w:sz w:val="20"/>
                <w:szCs w:val="20"/>
              </w:rPr>
            </w:pPr>
            <w:r>
              <w:rPr>
                <w:rFonts w:ascii="標楷體" w:eastAsia="標楷體" w:hAnsi="標楷體" w:hint="eastAsia"/>
                <w:sz w:val="20"/>
                <w:szCs w:val="20"/>
              </w:rPr>
              <w:t>休息</w:t>
            </w:r>
          </w:p>
        </w:tc>
      </w:tr>
      <w:tr w:rsidR="00D437F7" w:rsidRPr="003627CF" w:rsidTr="009F05E6">
        <w:trPr>
          <w:trHeight w:val="3290"/>
        </w:trPr>
        <w:tc>
          <w:tcPr>
            <w:tcW w:w="1811" w:type="dxa"/>
            <w:vAlign w:val="center"/>
          </w:tcPr>
          <w:p w:rsidR="00D437F7" w:rsidRPr="00C96A2A" w:rsidRDefault="004A45DB" w:rsidP="009F05E6">
            <w:pPr>
              <w:jc w:val="center"/>
              <w:rPr>
                <w:rFonts w:ascii="標楷體" w:eastAsia="標楷體" w:hAnsi="標楷體"/>
                <w:sz w:val="20"/>
                <w:szCs w:val="20"/>
                <w:lang w:val="de-DE"/>
              </w:rPr>
            </w:pPr>
            <w:r>
              <w:rPr>
                <w:rFonts w:ascii="標楷體" w:eastAsia="標楷體" w:hAnsi="標楷體" w:hint="eastAsia"/>
                <w:sz w:val="20"/>
                <w:szCs w:val="20"/>
              </w:rPr>
              <w:t>第四</w:t>
            </w:r>
            <w:r w:rsidR="009F05E6" w:rsidRPr="003627CF">
              <w:rPr>
                <w:rFonts w:ascii="標楷體" w:eastAsia="標楷體" w:hAnsi="標楷體" w:hint="eastAsia"/>
                <w:sz w:val="20"/>
                <w:szCs w:val="20"/>
              </w:rPr>
              <w:t>場次</w:t>
            </w:r>
            <w:r w:rsidR="00D437F7" w:rsidRPr="003627CF">
              <w:rPr>
                <w:rFonts w:ascii="標楷體" w:eastAsia="標楷體" w:hAnsi="標楷體"/>
                <w:sz w:val="20"/>
                <w:szCs w:val="20"/>
              </w:rPr>
              <w:t>15:</w:t>
            </w:r>
            <w:r>
              <w:rPr>
                <w:rFonts w:ascii="標楷體" w:eastAsia="標楷體" w:hAnsi="標楷體" w:hint="eastAsia"/>
                <w:sz w:val="20"/>
                <w:szCs w:val="20"/>
              </w:rPr>
              <w:t>1</w:t>
            </w:r>
            <w:r w:rsidR="00D437F7" w:rsidRPr="003627CF">
              <w:rPr>
                <w:rFonts w:ascii="標楷體" w:eastAsia="標楷體" w:hAnsi="標楷體" w:hint="eastAsia"/>
                <w:sz w:val="20"/>
                <w:szCs w:val="20"/>
              </w:rPr>
              <w:t>0</w:t>
            </w:r>
            <w:r>
              <w:rPr>
                <w:rFonts w:ascii="標楷體" w:eastAsia="標楷體" w:hAnsi="標楷體"/>
                <w:sz w:val="20"/>
                <w:szCs w:val="20"/>
              </w:rPr>
              <w:t>~1</w:t>
            </w:r>
            <w:r>
              <w:rPr>
                <w:rFonts w:ascii="標楷體" w:eastAsia="標楷體" w:hAnsi="標楷體" w:hint="eastAsia"/>
                <w:sz w:val="20"/>
                <w:szCs w:val="20"/>
              </w:rPr>
              <w:t>6</w:t>
            </w:r>
            <w:r w:rsidR="00D437F7" w:rsidRPr="003627CF">
              <w:rPr>
                <w:rFonts w:ascii="標楷體" w:eastAsia="標楷體" w:hAnsi="標楷體"/>
                <w:sz w:val="20"/>
                <w:szCs w:val="20"/>
              </w:rPr>
              <w:t>:</w:t>
            </w:r>
            <w:r w:rsidR="00C96A2A">
              <w:rPr>
                <w:rFonts w:ascii="標楷體" w:eastAsia="標楷體" w:hAnsi="標楷體"/>
                <w:sz w:val="20"/>
                <w:szCs w:val="20"/>
              </w:rPr>
              <w:t>50</w:t>
            </w:r>
          </w:p>
        </w:tc>
        <w:tc>
          <w:tcPr>
            <w:tcW w:w="6561" w:type="dxa"/>
          </w:tcPr>
          <w:p w:rsidR="00B90957" w:rsidRDefault="00755080" w:rsidP="00755080">
            <w:pPr>
              <w:rPr>
                <w:rFonts w:ascii="標楷體" w:eastAsia="標楷體" w:hAnsi="標楷體"/>
                <w:sz w:val="20"/>
                <w:szCs w:val="20"/>
              </w:rPr>
            </w:pPr>
            <w:r w:rsidRPr="003627CF">
              <w:rPr>
                <w:rFonts w:ascii="標楷體" w:eastAsia="標楷體" w:hAnsi="標楷體" w:hint="eastAsia"/>
                <w:sz w:val="20"/>
                <w:szCs w:val="20"/>
              </w:rPr>
              <w:t>主持人：</w:t>
            </w:r>
            <w:r w:rsidR="00D0682B">
              <w:rPr>
                <w:rFonts w:ascii="標楷體" w:eastAsia="標楷體" w:hAnsi="標楷體" w:hint="eastAsia"/>
                <w:sz w:val="20"/>
                <w:szCs w:val="20"/>
              </w:rPr>
              <w:t>李玉君</w:t>
            </w:r>
            <w:r w:rsidR="00834867">
              <w:rPr>
                <w:rFonts w:ascii="標楷體" w:eastAsia="標楷體" w:hAnsi="標楷體" w:hint="eastAsia"/>
                <w:sz w:val="20"/>
                <w:szCs w:val="20"/>
              </w:rPr>
              <w:t>（國立暨南大學公共行政系教授兼系主任）</w:t>
            </w:r>
          </w:p>
          <w:p w:rsidR="00755080" w:rsidRDefault="00960243" w:rsidP="00755080">
            <w:pPr>
              <w:rPr>
                <w:rFonts w:ascii="標楷體" w:eastAsia="標楷體" w:hAnsi="標楷體"/>
                <w:sz w:val="20"/>
                <w:szCs w:val="20"/>
              </w:rPr>
            </w:pPr>
            <w:r>
              <w:rPr>
                <w:rFonts w:ascii="標楷體" w:eastAsia="標楷體" w:hAnsi="標楷體" w:hint="eastAsia"/>
                <w:sz w:val="20"/>
                <w:szCs w:val="20"/>
              </w:rPr>
              <w:t xml:space="preserve"> </w:t>
            </w:r>
          </w:p>
          <w:p w:rsidR="00B90957" w:rsidRPr="003627CF" w:rsidRDefault="00B90957" w:rsidP="00B90957">
            <w:pPr>
              <w:ind w:left="800" w:hangingChars="400" w:hanging="800"/>
              <w:rPr>
                <w:rFonts w:ascii="標楷體" w:eastAsia="標楷體" w:hAnsi="標楷體"/>
                <w:sz w:val="20"/>
                <w:szCs w:val="20"/>
              </w:rPr>
            </w:pPr>
            <w:r w:rsidRPr="003627CF">
              <w:rPr>
                <w:rFonts w:ascii="標楷體" w:eastAsia="標楷體" w:hAnsi="標楷體" w:hint="eastAsia"/>
                <w:sz w:val="20"/>
                <w:szCs w:val="20"/>
              </w:rPr>
              <w:t>題  目：</w:t>
            </w:r>
            <w:r w:rsidR="00C96A2A">
              <w:rPr>
                <w:rFonts w:ascii="標楷體" w:eastAsia="標楷體" w:hAnsi="標楷體" w:hint="eastAsia"/>
                <w:sz w:val="20"/>
                <w:szCs w:val="20"/>
              </w:rPr>
              <w:t>退休後事業第二春？年改釋憲之後如何</w:t>
            </w:r>
            <w:r w:rsidR="00F84ED6">
              <w:rPr>
                <w:rFonts w:ascii="標楷體" w:eastAsia="標楷體" w:hAnsi="標楷體" w:hint="eastAsia"/>
                <w:sz w:val="20"/>
                <w:szCs w:val="20"/>
              </w:rPr>
              <w:t>平衡年金權益與促進中高齡再就業？</w:t>
            </w:r>
          </w:p>
          <w:p w:rsidR="00B90957" w:rsidRPr="00B90957" w:rsidRDefault="00B90957" w:rsidP="00755080">
            <w:pPr>
              <w:rPr>
                <w:rFonts w:ascii="標楷體" w:eastAsia="標楷體" w:hAnsi="標楷體"/>
                <w:sz w:val="20"/>
                <w:szCs w:val="20"/>
              </w:rPr>
            </w:pPr>
            <w:r w:rsidRPr="003627CF">
              <w:rPr>
                <w:rFonts w:ascii="標楷體" w:eastAsia="標楷體" w:hAnsi="標楷體" w:hint="eastAsia"/>
                <w:sz w:val="20"/>
                <w:szCs w:val="20"/>
              </w:rPr>
              <w:t>報告人：</w:t>
            </w:r>
            <w:r w:rsidR="003F2504">
              <w:rPr>
                <w:rFonts w:ascii="標楷體" w:eastAsia="標楷體" w:hAnsi="標楷體" w:hint="eastAsia"/>
                <w:sz w:val="20"/>
                <w:szCs w:val="20"/>
              </w:rPr>
              <w:t>林宏陽</w:t>
            </w:r>
            <w:r w:rsidR="00834867">
              <w:rPr>
                <w:rFonts w:ascii="標楷體" w:eastAsia="標楷體" w:hAnsi="標楷體" w:hint="eastAsia"/>
                <w:sz w:val="20"/>
                <w:szCs w:val="20"/>
              </w:rPr>
              <w:t>（</w:t>
            </w:r>
            <w:r w:rsidR="007E434A">
              <w:rPr>
                <w:rFonts w:ascii="標楷體" w:eastAsia="標楷體" w:hAnsi="標楷體" w:hint="eastAsia"/>
                <w:sz w:val="20"/>
                <w:szCs w:val="20"/>
              </w:rPr>
              <w:t>國立屏東科技大學社會工作系副教授</w:t>
            </w:r>
            <w:r w:rsidR="00834867">
              <w:rPr>
                <w:rFonts w:ascii="標楷體" w:eastAsia="標楷體" w:hAnsi="標楷體" w:hint="eastAsia"/>
                <w:sz w:val="20"/>
                <w:szCs w:val="20"/>
              </w:rPr>
              <w:t>）</w:t>
            </w:r>
          </w:p>
          <w:p w:rsidR="00B90957" w:rsidRPr="003E1E29" w:rsidRDefault="00B90957" w:rsidP="00755080">
            <w:pPr>
              <w:rPr>
                <w:rFonts w:ascii="標楷體" w:eastAsia="標楷體" w:hAnsi="標楷體"/>
                <w:sz w:val="20"/>
                <w:szCs w:val="20"/>
              </w:rPr>
            </w:pPr>
          </w:p>
          <w:p w:rsidR="00755080" w:rsidRPr="003627CF" w:rsidRDefault="00755080" w:rsidP="00755080">
            <w:pPr>
              <w:rPr>
                <w:rFonts w:ascii="標楷體" w:eastAsia="標楷體" w:hAnsi="標楷體"/>
                <w:sz w:val="20"/>
                <w:szCs w:val="20"/>
              </w:rPr>
            </w:pPr>
            <w:r w:rsidRPr="003627CF">
              <w:rPr>
                <w:rFonts w:ascii="標楷體" w:eastAsia="標楷體" w:hAnsi="標楷體" w:hint="eastAsia"/>
                <w:sz w:val="20"/>
                <w:szCs w:val="20"/>
              </w:rPr>
              <w:t>題  目：</w:t>
            </w:r>
            <w:r w:rsidR="003F2504" w:rsidRPr="003F2504">
              <w:rPr>
                <w:rFonts w:ascii="標楷體" w:eastAsia="標楷體" w:hAnsi="標楷體" w:hint="eastAsia"/>
                <w:sz w:val="20"/>
                <w:szCs w:val="20"/>
              </w:rPr>
              <w:t>日本年金與再就業體系公私部門的比較</w:t>
            </w:r>
          </w:p>
          <w:p w:rsidR="00755080" w:rsidRPr="003627CF" w:rsidRDefault="00755080" w:rsidP="00755080">
            <w:pPr>
              <w:rPr>
                <w:rFonts w:ascii="標楷體" w:eastAsia="標楷體" w:hAnsi="標楷體"/>
                <w:sz w:val="20"/>
                <w:szCs w:val="20"/>
              </w:rPr>
            </w:pPr>
            <w:r w:rsidRPr="003627CF">
              <w:rPr>
                <w:rFonts w:ascii="標楷體" w:eastAsia="標楷體" w:hAnsi="標楷體" w:hint="eastAsia"/>
                <w:sz w:val="20"/>
                <w:szCs w:val="20"/>
              </w:rPr>
              <w:t>報告人：</w:t>
            </w:r>
            <w:r w:rsidR="003F2504">
              <w:rPr>
                <w:rFonts w:ascii="標楷體" w:eastAsia="標楷體" w:hAnsi="標楷體" w:hint="eastAsia"/>
                <w:sz w:val="20"/>
                <w:szCs w:val="20"/>
              </w:rPr>
              <w:t>葉崇揚</w:t>
            </w:r>
            <w:r w:rsidR="007E434A">
              <w:rPr>
                <w:rFonts w:ascii="標楷體" w:eastAsia="標楷體" w:hAnsi="標楷體" w:hint="eastAsia"/>
                <w:sz w:val="20"/>
                <w:szCs w:val="20"/>
              </w:rPr>
              <w:t>（東吳大學社會系</w:t>
            </w:r>
            <w:r w:rsidR="0016627F">
              <w:rPr>
                <w:rFonts w:ascii="標楷體" w:eastAsia="標楷體" w:hAnsi="標楷體" w:hint="eastAsia"/>
                <w:sz w:val="20"/>
                <w:szCs w:val="20"/>
              </w:rPr>
              <w:t>助理</w:t>
            </w:r>
            <w:r w:rsidR="007E434A">
              <w:rPr>
                <w:rFonts w:ascii="標楷體" w:eastAsia="標楷體" w:hAnsi="標楷體" w:hint="eastAsia"/>
                <w:sz w:val="20"/>
                <w:szCs w:val="20"/>
              </w:rPr>
              <w:t>教授）</w:t>
            </w:r>
          </w:p>
          <w:p w:rsidR="00755080" w:rsidRPr="003627CF" w:rsidRDefault="00755080" w:rsidP="00755080">
            <w:pPr>
              <w:rPr>
                <w:rFonts w:ascii="標楷體" w:eastAsia="標楷體" w:hAnsi="標楷體"/>
                <w:sz w:val="20"/>
                <w:szCs w:val="20"/>
              </w:rPr>
            </w:pPr>
          </w:p>
          <w:p w:rsidR="00194BA9" w:rsidRPr="00785994" w:rsidRDefault="00755080" w:rsidP="00194BA9">
            <w:pPr>
              <w:rPr>
                <w:rFonts w:ascii="標楷體" w:eastAsia="標楷體" w:hAnsi="標楷體"/>
                <w:sz w:val="20"/>
                <w:szCs w:val="20"/>
                <w:lang w:val="de-DE"/>
              </w:rPr>
            </w:pPr>
            <w:r w:rsidRPr="003627CF">
              <w:rPr>
                <w:rFonts w:ascii="標楷體" w:eastAsia="標楷體" w:hAnsi="標楷體" w:hint="eastAsia"/>
                <w:sz w:val="20"/>
                <w:szCs w:val="20"/>
              </w:rPr>
              <w:t>與談人：</w:t>
            </w:r>
            <w:r w:rsidR="003F2504">
              <w:rPr>
                <w:rFonts w:ascii="標楷體" w:eastAsia="標楷體" w:hAnsi="標楷體" w:hint="eastAsia"/>
                <w:sz w:val="20"/>
                <w:szCs w:val="20"/>
              </w:rPr>
              <w:t>林倖如</w:t>
            </w:r>
            <w:r w:rsidR="00834867">
              <w:rPr>
                <w:rFonts w:ascii="標楷體" w:eastAsia="標楷體" w:hAnsi="標楷體" w:hint="eastAsia"/>
                <w:sz w:val="20"/>
                <w:szCs w:val="20"/>
              </w:rPr>
              <w:t>（國立海洋大學</w:t>
            </w:r>
            <w:r w:rsidR="007E434A">
              <w:rPr>
                <w:rFonts w:ascii="標楷體" w:eastAsia="標楷體" w:hAnsi="標楷體" w:hint="eastAsia"/>
                <w:sz w:val="20"/>
                <w:szCs w:val="20"/>
              </w:rPr>
              <w:t>海洋法律研究所助理教授</w:t>
            </w:r>
            <w:r w:rsidR="00834867">
              <w:rPr>
                <w:rFonts w:ascii="標楷體" w:eastAsia="標楷體" w:hAnsi="標楷體" w:hint="eastAsia"/>
                <w:sz w:val="20"/>
                <w:szCs w:val="20"/>
              </w:rPr>
              <w:t>）</w:t>
            </w:r>
          </w:p>
          <w:p w:rsidR="00430538" w:rsidRDefault="00755080" w:rsidP="00194BA9">
            <w:pPr>
              <w:rPr>
                <w:rFonts w:ascii="標楷體" w:eastAsia="標楷體" w:hAnsi="標楷體"/>
                <w:sz w:val="20"/>
                <w:szCs w:val="20"/>
              </w:rPr>
            </w:pPr>
            <w:r w:rsidRPr="003627CF">
              <w:rPr>
                <w:rFonts w:ascii="標楷體" w:eastAsia="標楷體" w:hAnsi="標楷體" w:hint="eastAsia"/>
                <w:sz w:val="20"/>
                <w:szCs w:val="20"/>
              </w:rPr>
              <w:t>與談人：</w:t>
            </w:r>
            <w:r w:rsidR="00DC6061">
              <w:rPr>
                <w:rFonts w:ascii="標楷體" w:eastAsia="標楷體" w:hAnsi="標楷體" w:hint="eastAsia"/>
                <w:sz w:val="20"/>
                <w:szCs w:val="20"/>
              </w:rPr>
              <w:t>周怡君</w:t>
            </w:r>
            <w:r w:rsidR="00834867">
              <w:rPr>
                <w:rFonts w:ascii="標楷體" w:eastAsia="標楷體" w:hAnsi="標楷體" w:hint="eastAsia"/>
                <w:sz w:val="20"/>
                <w:szCs w:val="20"/>
              </w:rPr>
              <w:t>（東吳大學社會系教授）</w:t>
            </w:r>
          </w:p>
          <w:p w:rsidR="00082F45" w:rsidRDefault="00082F45" w:rsidP="00194BA9">
            <w:pPr>
              <w:rPr>
                <w:rFonts w:ascii="標楷體" w:eastAsia="標楷體" w:hAnsi="標楷體"/>
                <w:sz w:val="20"/>
                <w:szCs w:val="20"/>
              </w:rPr>
            </w:pPr>
          </w:p>
          <w:p w:rsidR="00082F45" w:rsidRPr="003627CF" w:rsidRDefault="00082F45" w:rsidP="00194BA9">
            <w:pPr>
              <w:rPr>
                <w:rFonts w:ascii="標楷體" w:eastAsia="標楷體" w:hAnsi="標楷體"/>
                <w:sz w:val="20"/>
                <w:szCs w:val="20"/>
              </w:rPr>
            </w:pPr>
            <w:r>
              <w:rPr>
                <w:rFonts w:ascii="標楷體" w:eastAsia="標楷體" w:hAnsi="標楷體" w:hint="eastAsia"/>
                <w:sz w:val="20"/>
                <w:szCs w:val="20"/>
              </w:rPr>
              <w:t>提問與討論</w:t>
            </w:r>
          </w:p>
        </w:tc>
      </w:tr>
      <w:tr w:rsidR="00FD7A2A" w:rsidRPr="003627CF" w:rsidTr="009F05E6">
        <w:trPr>
          <w:trHeight w:val="244"/>
        </w:trPr>
        <w:tc>
          <w:tcPr>
            <w:tcW w:w="1811" w:type="dxa"/>
            <w:vAlign w:val="center"/>
          </w:tcPr>
          <w:p w:rsidR="00FD7A2A" w:rsidRPr="003627CF" w:rsidRDefault="004A45DB" w:rsidP="009F05E6">
            <w:pPr>
              <w:jc w:val="center"/>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6</w:t>
            </w:r>
            <w:r w:rsidR="00FD7A2A" w:rsidRPr="003627CF">
              <w:rPr>
                <w:rFonts w:ascii="標楷體" w:eastAsia="標楷體" w:hAnsi="標楷體"/>
                <w:sz w:val="20"/>
                <w:szCs w:val="20"/>
              </w:rPr>
              <w:t>:</w:t>
            </w:r>
            <w:r w:rsidR="00C96A2A">
              <w:rPr>
                <w:rFonts w:ascii="標楷體" w:eastAsia="標楷體" w:hAnsi="標楷體"/>
                <w:sz w:val="20"/>
                <w:szCs w:val="20"/>
              </w:rPr>
              <w:t>5</w:t>
            </w:r>
            <w:r>
              <w:rPr>
                <w:rFonts w:ascii="標楷體" w:eastAsia="標楷體" w:hAnsi="標楷體"/>
                <w:sz w:val="20"/>
                <w:szCs w:val="20"/>
              </w:rPr>
              <w:t>0~17:</w:t>
            </w:r>
            <w:r>
              <w:rPr>
                <w:rFonts w:ascii="標楷體" w:eastAsia="標楷體" w:hAnsi="標楷體" w:hint="eastAsia"/>
                <w:sz w:val="20"/>
                <w:szCs w:val="20"/>
              </w:rPr>
              <w:t>00</w:t>
            </w:r>
          </w:p>
        </w:tc>
        <w:tc>
          <w:tcPr>
            <w:tcW w:w="6561" w:type="dxa"/>
          </w:tcPr>
          <w:p w:rsidR="00FD7A2A" w:rsidRDefault="00D437F7" w:rsidP="00D437F7">
            <w:pPr>
              <w:jc w:val="center"/>
              <w:rPr>
                <w:rFonts w:ascii="標楷體" w:eastAsia="標楷體" w:hAnsi="標楷體"/>
                <w:sz w:val="20"/>
                <w:szCs w:val="20"/>
              </w:rPr>
            </w:pPr>
            <w:r w:rsidRPr="003627CF">
              <w:rPr>
                <w:rFonts w:ascii="標楷體" w:eastAsia="標楷體" w:hAnsi="標楷體" w:hint="eastAsia"/>
                <w:sz w:val="20"/>
                <w:szCs w:val="20"/>
              </w:rPr>
              <w:t>閉幕式</w:t>
            </w:r>
          </w:p>
          <w:p w:rsidR="00C55869" w:rsidRDefault="00C55869" w:rsidP="00D437F7">
            <w:pPr>
              <w:jc w:val="center"/>
              <w:rPr>
                <w:rFonts w:ascii="標楷體" w:eastAsia="標楷體" w:hAnsi="標楷體"/>
                <w:sz w:val="20"/>
                <w:szCs w:val="20"/>
              </w:rPr>
            </w:pPr>
            <w:r>
              <w:rPr>
                <w:rFonts w:ascii="標楷體" w:eastAsia="標楷體" w:hAnsi="標楷體" w:hint="eastAsia"/>
                <w:sz w:val="20"/>
                <w:szCs w:val="20"/>
              </w:rPr>
              <w:t>台灣社會法與社會政策學會</w:t>
            </w:r>
            <w:r w:rsidR="00605D2B">
              <w:rPr>
                <w:rFonts w:ascii="標楷體" w:eastAsia="標楷體" w:hAnsi="標楷體" w:hint="eastAsia"/>
                <w:sz w:val="20"/>
                <w:szCs w:val="20"/>
              </w:rPr>
              <w:t>理事長 李玉君</w:t>
            </w:r>
            <w:r w:rsidR="00BD249E">
              <w:rPr>
                <w:rFonts w:ascii="標楷體" w:eastAsia="標楷體" w:hAnsi="標楷體" w:hint="eastAsia"/>
                <w:sz w:val="20"/>
                <w:szCs w:val="20"/>
              </w:rPr>
              <w:t xml:space="preserve"> </w:t>
            </w:r>
            <w:r w:rsidR="00605D2B">
              <w:rPr>
                <w:rFonts w:ascii="標楷體" w:eastAsia="標楷體" w:hAnsi="標楷體" w:hint="eastAsia"/>
                <w:sz w:val="20"/>
                <w:szCs w:val="20"/>
              </w:rPr>
              <w:t>教授</w:t>
            </w:r>
          </w:p>
          <w:p w:rsidR="00C55869" w:rsidRPr="003627CF" w:rsidRDefault="00605D2B" w:rsidP="00D437F7">
            <w:pPr>
              <w:jc w:val="center"/>
              <w:rPr>
                <w:rFonts w:ascii="標楷體" w:eastAsia="標楷體" w:hAnsi="標楷體"/>
                <w:sz w:val="20"/>
                <w:szCs w:val="20"/>
              </w:rPr>
            </w:pPr>
            <w:r w:rsidRPr="00605D2B">
              <w:rPr>
                <w:rFonts w:ascii="標楷體" w:eastAsia="標楷體" w:hAnsi="標楷體" w:hint="eastAsia"/>
                <w:sz w:val="20"/>
                <w:szCs w:val="20"/>
              </w:rPr>
              <w:t>台北律師公會憲法委員會主任委員 林光彥 律師</w:t>
            </w:r>
          </w:p>
        </w:tc>
      </w:tr>
    </w:tbl>
    <w:p w:rsidR="00FD7A2A" w:rsidRPr="003627CF" w:rsidRDefault="00FD7A2A" w:rsidP="00D437F7">
      <w:pPr>
        <w:rPr>
          <w:rFonts w:ascii="標楷體" w:eastAsia="標楷體" w:hAnsi="標楷體"/>
          <w:sz w:val="20"/>
          <w:szCs w:val="20"/>
        </w:rPr>
      </w:pPr>
    </w:p>
    <w:p w:rsidR="0016627F" w:rsidRDefault="0016627F" w:rsidP="00D437F7">
      <w:pPr>
        <w:rPr>
          <w:rFonts w:ascii="標楷體" w:eastAsia="標楷體" w:hAnsi="標楷體"/>
          <w:sz w:val="20"/>
          <w:szCs w:val="20"/>
        </w:rPr>
      </w:pPr>
    </w:p>
    <w:p w:rsidR="00532D8D" w:rsidRDefault="00532D8D" w:rsidP="00D437F7">
      <w:pPr>
        <w:rPr>
          <w:rFonts w:ascii="標楷體" w:eastAsia="標楷體" w:hAnsi="標楷體"/>
          <w:sz w:val="20"/>
          <w:szCs w:val="20"/>
        </w:rPr>
      </w:pPr>
      <w:r>
        <w:rPr>
          <w:rFonts w:ascii="標楷體" w:eastAsia="標楷體" w:hAnsi="標楷體" w:hint="eastAsia"/>
          <w:sz w:val="20"/>
          <w:szCs w:val="20"/>
        </w:rPr>
        <w:t>主辦單位：台灣社會法與社會政策學會、臺灣民主基金會、台北律師公會、台灣法學會、台灣大學法律學院公法中心</w:t>
      </w:r>
    </w:p>
    <w:p w:rsidR="0016627F" w:rsidRDefault="0016627F">
      <w:pPr>
        <w:widowControl/>
        <w:rPr>
          <w:rFonts w:ascii="標楷體" w:eastAsia="標楷體" w:hAnsi="標楷體"/>
          <w:sz w:val="20"/>
          <w:szCs w:val="20"/>
        </w:rPr>
      </w:pPr>
      <w:r>
        <w:rPr>
          <w:rFonts w:ascii="標楷體" w:eastAsia="標楷體" w:hAnsi="標楷體"/>
          <w:sz w:val="20"/>
          <w:szCs w:val="20"/>
        </w:rPr>
        <w:br w:type="page"/>
      </w:r>
    </w:p>
    <w:p w:rsidR="0016627F" w:rsidRDefault="0016627F" w:rsidP="0016627F">
      <w:pPr>
        <w:jc w:val="center"/>
      </w:pPr>
      <w:r>
        <w:rPr>
          <w:rFonts w:hint="eastAsia"/>
        </w:rPr>
        <w:lastRenderedPageBreak/>
        <w:t>台灣社會法與社會政策學會主辦「年改之後？年金改革釋憲研討會」</w:t>
      </w:r>
    </w:p>
    <w:p w:rsidR="0016627F" w:rsidRDefault="0016627F" w:rsidP="0016627F">
      <w:pPr>
        <w:jc w:val="center"/>
      </w:pPr>
      <w:r>
        <w:rPr>
          <w:rFonts w:hint="eastAsia"/>
        </w:rPr>
        <w:t>預算編列書</w:t>
      </w:r>
    </w:p>
    <w:p w:rsidR="0016627F" w:rsidRDefault="0016627F" w:rsidP="0016627F"/>
    <w:p w:rsidR="0016627F" w:rsidRDefault="0016627F" w:rsidP="0016627F">
      <w:r>
        <w:rPr>
          <w:rFonts w:hint="eastAsia"/>
        </w:rPr>
        <w:t>（一）活動內容</w:t>
      </w:r>
    </w:p>
    <w:p w:rsidR="00F84ED6" w:rsidRPr="00F84ED6" w:rsidRDefault="00F84ED6" w:rsidP="00F84ED6">
      <w:pPr>
        <w:jc w:val="both"/>
        <w:rPr>
          <w:rFonts w:ascii="Times New Roman" w:eastAsiaTheme="minorEastAsia" w:hAnsi="Times New Roman"/>
          <w:color w:val="000000"/>
        </w:rPr>
      </w:pPr>
      <w:r w:rsidRPr="00F84ED6">
        <w:rPr>
          <w:rFonts w:ascii="Times New Roman" w:eastAsiaTheme="minorEastAsia" w:hAnsi="Times New Roman"/>
          <w:color w:val="000000"/>
        </w:rPr>
        <w:t>過去兩年，軍公教年金改革相關之修法與立法引發諸多違憲爭議，包括年金改革法律是否涉及真正溯及既往、是否違反信賴保護原則、是否侵害已退休者之財產權等。今年</w:t>
      </w:r>
      <w:r w:rsidRPr="00F84ED6">
        <w:rPr>
          <w:rFonts w:ascii="Times New Roman" w:eastAsiaTheme="minorEastAsia" w:hAnsi="Times New Roman"/>
          <w:color w:val="000000"/>
        </w:rPr>
        <w:t>8</w:t>
      </w:r>
      <w:r w:rsidRPr="00F84ED6">
        <w:rPr>
          <w:rFonts w:ascii="Times New Roman" w:eastAsiaTheme="minorEastAsia" w:hAnsi="Times New Roman"/>
          <w:color w:val="000000"/>
        </w:rPr>
        <w:t>月</w:t>
      </w:r>
      <w:r w:rsidRPr="00F84ED6">
        <w:rPr>
          <w:rFonts w:ascii="Times New Roman" w:eastAsiaTheme="minorEastAsia" w:hAnsi="Times New Roman"/>
          <w:color w:val="000000"/>
        </w:rPr>
        <w:t>23</w:t>
      </w:r>
      <w:r w:rsidRPr="00F84ED6">
        <w:rPr>
          <w:rFonts w:ascii="Times New Roman" w:eastAsiaTheme="minorEastAsia" w:hAnsi="Times New Roman"/>
          <w:color w:val="000000"/>
        </w:rPr>
        <w:t>日大法官公布釋字第</w:t>
      </w:r>
      <w:r w:rsidRPr="00F84ED6">
        <w:rPr>
          <w:rFonts w:ascii="Times New Roman" w:eastAsiaTheme="minorEastAsia" w:hAnsi="Times New Roman"/>
          <w:color w:val="000000"/>
        </w:rPr>
        <w:t>781</w:t>
      </w:r>
      <w:r w:rsidRPr="00F84ED6">
        <w:rPr>
          <w:rFonts w:ascii="Times New Roman" w:eastAsiaTheme="minorEastAsia" w:hAnsi="Times New Roman"/>
          <w:color w:val="000000"/>
        </w:rPr>
        <w:t>號、釋字第</w:t>
      </w:r>
      <w:r w:rsidRPr="00F84ED6">
        <w:rPr>
          <w:rFonts w:ascii="Times New Roman" w:eastAsiaTheme="minorEastAsia" w:hAnsi="Times New Roman"/>
          <w:color w:val="000000"/>
        </w:rPr>
        <w:t>782</w:t>
      </w:r>
      <w:r w:rsidRPr="00F84ED6">
        <w:rPr>
          <w:rFonts w:ascii="Times New Roman" w:eastAsiaTheme="minorEastAsia" w:hAnsi="Times New Roman"/>
          <w:color w:val="000000"/>
        </w:rPr>
        <w:t>號與釋字第</w:t>
      </w:r>
      <w:r w:rsidRPr="00F84ED6">
        <w:rPr>
          <w:rFonts w:ascii="Times New Roman" w:eastAsiaTheme="minorEastAsia" w:hAnsi="Times New Roman"/>
          <w:color w:val="000000"/>
        </w:rPr>
        <w:t>783</w:t>
      </w:r>
      <w:r w:rsidRPr="00F84ED6">
        <w:rPr>
          <w:rFonts w:ascii="Times New Roman" w:eastAsiaTheme="minorEastAsia" w:hAnsi="Times New Roman"/>
          <w:color w:val="000000"/>
        </w:rPr>
        <w:t>號解釋，作成部分合憲、部分合憲之結論，以及部分要求立法者修改之警告性裁判。憲法解釋公布後，憲法爭議似已塵埃落定，但就這三號解釋的言詞辯論、解釋公布的解釋文與理由書仍舊有許多問題仍有待釐清。因此本會擬於民國</w:t>
      </w:r>
      <w:r w:rsidRPr="00F84ED6">
        <w:rPr>
          <w:rFonts w:ascii="Times New Roman" w:eastAsiaTheme="minorEastAsia" w:hAnsi="Times New Roman"/>
          <w:color w:val="000000"/>
        </w:rPr>
        <w:t>108</w:t>
      </w:r>
      <w:r w:rsidRPr="00F84ED6">
        <w:rPr>
          <w:rFonts w:ascii="Times New Roman" w:eastAsiaTheme="minorEastAsia" w:hAnsi="Times New Roman"/>
          <w:color w:val="000000"/>
        </w:rPr>
        <w:t>年</w:t>
      </w:r>
      <w:r w:rsidRPr="00F84ED6">
        <w:rPr>
          <w:rFonts w:ascii="Times New Roman" w:eastAsiaTheme="minorEastAsia" w:hAnsi="Times New Roman"/>
          <w:color w:val="000000"/>
        </w:rPr>
        <w:t>12</w:t>
      </w:r>
      <w:r w:rsidRPr="00F84ED6">
        <w:rPr>
          <w:rFonts w:ascii="Times New Roman" w:eastAsiaTheme="minorEastAsia" w:hAnsi="Times New Roman"/>
          <w:color w:val="000000"/>
        </w:rPr>
        <w:t>月</w:t>
      </w:r>
      <w:r w:rsidRPr="00F84ED6">
        <w:rPr>
          <w:rFonts w:ascii="Times New Roman" w:eastAsiaTheme="minorEastAsia" w:hAnsi="Times New Roman"/>
          <w:color w:val="000000"/>
        </w:rPr>
        <w:t>20</w:t>
      </w:r>
      <w:r w:rsidRPr="00F84ED6">
        <w:rPr>
          <w:rFonts w:ascii="Times New Roman" w:eastAsiaTheme="minorEastAsia" w:hAnsi="Times New Roman"/>
          <w:color w:val="000000"/>
        </w:rPr>
        <w:t>日舉辦年金改革釋憲研討會，探討此三號解釋所引發的問題以及其外溢效應。題綱內容包括：</w:t>
      </w:r>
    </w:p>
    <w:p w:rsidR="00F84ED6" w:rsidRPr="00F84ED6" w:rsidRDefault="00F84ED6" w:rsidP="00F84ED6">
      <w:pPr>
        <w:numPr>
          <w:ilvl w:val="0"/>
          <w:numId w:val="1"/>
        </w:numPr>
        <w:jc w:val="both"/>
        <w:rPr>
          <w:rFonts w:ascii="Times New Roman" w:eastAsiaTheme="minorEastAsia" w:hAnsi="Times New Roman"/>
          <w:color w:val="000000"/>
        </w:rPr>
      </w:pPr>
      <w:r w:rsidRPr="00F84ED6">
        <w:rPr>
          <w:rFonts w:ascii="Times New Roman" w:eastAsiaTheme="minorEastAsia" w:hAnsi="Times New Roman"/>
          <w:color w:val="000000"/>
        </w:rPr>
        <w:t>此三號解釋之主要爭點與言詞辯論的經過</w:t>
      </w:r>
    </w:p>
    <w:p w:rsidR="00F84ED6" w:rsidRPr="00F84ED6" w:rsidRDefault="00F84ED6" w:rsidP="00F84ED6">
      <w:pPr>
        <w:numPr>
          <w:ilvl w:val="0"/>
          <w:numId w:val="1"/>
        </w:numPr>
        <w:jc w:val="both"/>
        <w:rPr>
          <w:rFonts w:ascii="Times New Roman" w:eastAsiaTheme="minorEastAsia" w:hAnsi="Times New Roman"/>
          <w:color w:val="000000"/>
        </w:rPr>
      </w:pPr>
      <w:r w:rsidRPr="00F84ED6">
        <w:rPr>
          <w:rFonts w:ascii="Times New Roman" w:eastAsiaTheme="minorEastAsia" w:hAnsi="Times New Roman"/>
          <w:color w:val="000000"/>
        </w:rPr>
        <w:t>此三號解釋對於軍公教退休制度與勞工保險制度未來發展的意義</w:t>
      </w:r>
    </w:p>
    <w:p w:rsidR="00F84ED6" w:rsidRPr="00F84ED6" w:rsidRDefault="00F84ED6" w:rsidP="00F84ED6">
      <w:pPr>
        <w:numPr>
          <w:ilvl w:val="0"/>
          <w:numId w:val="1"/>
        </w:numPr>
        <w:jc w:val="both"/>
        <w:rPr>
          <w:rFonts w:ascii="Times New Roman" w:eastAsiaTheme="minorEastAsia" w:hAnsi="Times New Roman"/>
          <w:color w:val="000000"/>
        </w:rPr>
      </w:pPr>
      <w:r w:rsidRPr="00F84ED6">
        <w:rPr>
          <w:rFonts w:ascii="Times New Roman" w:eastAsiaTheme="minorEastAsia" w:hAnsi="Times New Roman"/>
          <w:color w:val="000000"/>
        </w:rPr>
        <w:t>美國各州對於年金改革所生的憲法爭議及其對我國公共年金制度相關爭議的啟示</w:t>
      </w:r>
    </w:p>
    <w:p w:rsidR="00F84ED6" w:rsidRPr="00F84ED6" w:rsidRDefault="00F84ED6" w:rsidP="00F84ED6">
      <w:pPr>
        <w:numPr>
          <w:ilvl w:val="0"/>
          <w:numId w:val="1"/>
        </w:numPr>
        <w:jc w:val="both"/>
        <w:rPr>
          <w:rFonts w:ascii="Times New Roman" w:eastAsiaTheme="minorEastAsia" w:hAnsi="Times New Roman"/>
          <w:color w:val="000000"/>
        </w:rPr>
      </w:pPr>
      <w:r w:rsidRPr="00F84ED6">
        <w:rPr>
          <w:rFonts w:ascii="Times New Roman" w:eastAsiaTheme="minorEastAsia" w:hAnsi="Times New Roman"/>
          <w:color w:val="000000"/>
        </w:rPr>
        <w:t>大法官公布軍公教年金改革三號憲法解釋宣告再任私校停俸條款違憲失效後，再任私校退休軍公教人員之行政救濟程序爭議</w:t>
      </w:r>
    </w:p>
    <w:p w:rsidR="0016627F" w:rsidRPr="00F84ED6" w:rsidRDefault="00F84ED6" w:rsidP="00F84ED6">
      <w:pPr>
        <w:pStyle w:val="af0"/>
        <w:numPr>
          <w:ilvl w:val="0"/>
          <w:numId w:val="1"/>
        </w:numPr>
        <w:ind w:leftChars="0"/>
        <w:rPr>
          <w:rFonts w:cs="Times New Roman"/>
        </w:rPr>
      </w:pPr>
      <w:r w:rsidRPr="00F84ED6">
        <w:rPr>
          <w:rFonts w:cs="Times New Roman"/>
          <w:color w:val="000000"/>
        </w:rPr>
        <w:t>釋憲之後如何修法，在退休權益與退休後再就業之間找到符合平等原則與比例原則的平衡點（法律層面</w:t>
      </w:r>
      <w:r w:rsidRPr="00F84ED6">
        <w:rPr>
          <w:rFonts w:cs="Times New Roman"/>
          <w:color w:val="000000"/>
        </w:rPr>
        <w:t>/</w:t>
      </w:r>
      <w:r w:rsidRPr="00F84ED6">
        <w:rPr>
          <w:rFonts w:cs="Times New Roman"/>
          <w:color w:val="000000"/>
        </w:rPr>
        <w:t>政策層面）</w:t>
      </w:r>
    </w:p>
    <w:p w:rsidR="009F05E6" w:rsidRPr="003627CF" w:rsidRDefault="00402F34" w:rsidP="00D437F7">
      <w:pPr>
        <w:rPr>
          <w:rFonts w:ascii="標楷體" w:eastAsia="標楷體" w:hAnsi="標楷體"/>
          <w:sz w:val="20"/>
          <w:szCs w:val="20"/>
        </w:rPr>
      </w:pPr>
      <w:bookmarkStart w:id="0" w:name="_GoBack"/>
      <w:bookmarkEnd w:id="0"/>
      <w:r>
        <w:rPr>
          <w:rFonts w:ascii="標楷體" w:eastAsia="標楷體" w:hAnsi="標楷體" w:hint="eastAsia"/>
          <w:sz w:val="20"/>
          <w:szCs w:val="20"/>
        </w:rPr>
        <w:t xml:space="preserve">      </w:t>
      </w:r>
    </w:p>
    <w:sectPr w:rsidR="009F05E6" w:rsidRPr="003627CF" w:rsidSect="009F05E6">
      <w:pgSz w:w="11906" w:h="16838"/>
      <w:pgMar w:top="1134" w:right="1797" w:bottom="102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272" w:rsidRDefault="00276272" w:rsidP="00102F52">
      <w:r>
        <w:separator/>
      </w:r>
    </w:p>
  </w:endnote>
  <w:endnote w:type="continuationSeparator" w:id="0">
    <w:p w:rsidR="00276272" w:rsidRDefault="00276272" w:rsidP="0010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本文 CS 字型)">
    <w:altName w:val="新細明體"/>
    <w:panose1 w:val="02020603050405020304"/>
    <w:charset w:val="88"/>
    <w:family w:val="roman"/>
    <w:pitch w:val="default"/>
    <w:sig w:usb0="E0002AEF" w:usb1="C0007841"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272" w:rsidRDefault="00276272" w:rsidP="00102F52">
      <w:r>
        <w:separator/>
      </w:r>
    </w:p>
  </w:footnote>
  <w:footnote w:type="continuationSeparator" w:id="0">
    <w:p w:rsidR="00276272" w:rsidRDefault="00276272" w:rsidP="00102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E6084"/>
    <w:multiLevelType w:val="hybridMultilevel"/>
    <w:tmpl w:val="C412718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ACE7632"/>
    <w:multiLevelType w:val="hybridMultilevel"/>
    <w:tmpl w:val="8724D3B2"/>
    <w:lvl w:ilvl="0" w:tplc="398C0630">
      <w:start w:val="1"/>
      <w:numFmt w:val="taiwaneseCountingThousand"/>
      <w:lvlText w:val="%1、"/>
      <w:lvlJc w:val="left"/>
      <w:pPr>
        <w:tabs>
          <w:tab w:val="num" w:pos="480"/>
        </w:tabs>
        <w:ind w:left="480" w:hanging="480"/>
      </w:pPr>
      <w:rPr>
        <w:rFonts w:hint="eastAsia"/>
      </w:rPr>
    </w:lvl>
    <w:lvl w:ilvl="1" w:tplc="EA26560E">
      <w:start w:val="1"/>
      <w:numFmt w:val="taiwaneseCountingThousand"/>
      <w:lvlText w:val="(%2)"/>
      <w:lvlJc w:val="left"/>
      <w:pPr>
        <w:tabs>
          <w:tab w:val="num" w:pos="930"/>
        </w:tabs>
        <w:ind w:left="930" w:hanging="390"/>
      </w:pPr>
      <w:rPr>
        <w:rFonts w:hint="eastAsia"/>
      </w:rPr>
    </w:lvl>
    <w:lvl w:ilvl="2" w:tplc="0409001B">
      <w:start w:val="1"/>
      <w:numFmt w:val="lowerRoman"/>
      <w:lvlText w:val="%3."/>
      <w:lvlJc w:val="right"/>
      <w:pPr>
        <w:tabs>
          <w:tab w:val="num" w:pos="1440"/>
        </w:tabs>
        <w:ind w:left="1440" w:hanging="480"/>
      </w:pPr>
    </w:lvl>
    <w:lvl w:ilvl="3" w:tplc="0E9A88B0">
      <w:start w:val="1"/>
      <w:numFmt w:val="taiwaneseCountingThousand"/>
      <w:lvlText w:val="（%4）"/>
      <w:lvlJc w:val="left"/>
      <w:pPr>
        <w:tabs>
          <w:tab w:val="num" w:pos="2280"/>
        </w:tabs>
        <w:ind w:left="2280" w:hanging="840"/>
      </w:pPr>
      <w:rPr>
        <w:rFonts w:hint="eastAsia"/>
      </w:rPr>
    </w:lvl>
    <w:lvl w:ilvl="4" w:tplc="F6EC3F36">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FC04852"/>
    <w:multiLevelType w:val="hybridMultilevel"/>
    <w:tmpl w:val="8D08FEC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bordersDoNotSurroundHeader/>
  <w:bordersDoNotSurroundFooter/>
  <w:activeWritingStyle w:appName="MSWord" w:lang="en-US" w:vendorID="64" w:dllVersion="6" w:nlCheck="1" w:checkStyle="0"/>
  <w:activeWritingStyle w:appName="MSWord" w:lang="zh-TW" w:vendorID="64" w:dllVersion="5" w:nlCheck="1" w:checkStyle="1"/>
  <w:proofState w:spelling="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8D"/>
    <w:rsid w:val="000200E6"/>
    <w:rsid w:val="00031663"/>
    <w:rsid w:val="000444ED"/>
    <w:rsid w:val="00056BC3"/>
    <w:rsid w:val="000705A6"/>
    <w:rsid w:val="00082DE0"/>
    <w:rsid w:val="00082E2E"/>
    <w:rsid w:val="00082F45"/>
    <w:rsid w:val="00094517"/>
    <w:rsid w:val="000A7D1C"/>
    <w:rsid w:val="000A7DE8"/>
    <w:rsid w:val="000C7AF1"/>
    <w:rsid w:val="000D49D0"/>
    <w:rsid w:val="000E5FE0"/>
    <w:rsid w:val="000E7ABC"/>
    <w:rsid w:val="000F1D13"/>
    <w:rsid w:val="000F7BD9"/>
    <w:rsid w:val="00102F52"/>
    <w:rsid w:val="0011453B"/>
    <w:rsid w:val="001462BD"/>
    <w:rsid w:val="0014662E"/>
    <w:rsid w:val="00153E40"/>
    <w:rsid w:val="0016627F"/>
    <w:rsid w:val="00175698"/>
    <w:rsid w:val="00194BA9"/>
    <w:rsid w:val="001957CA"/>
    <w:rsid w:val="001A1DC9"/>
    <w:rsid w:val="001C423B"/>
    <w:rsid w:val="001C4EE3"/>
    <w:rsid w:val="001E1ACC"/>
    <w:rsid w:val="00240300"/>
    <w:rsid w:val="00251637"/>
    <w:rsid w:val="00256795"/>
    <w:rsid w:val="002650B3"/>
    <w:rsid w:val="00270439"/>
    <w:rsid w:val="00271B3B"/>
    <w:rsid w:val="00272EE0"/>
    <w:rsid w:val="002750DA"/>
    <w:rsid w:val="00276272"/>
    <w:rsid w:val="002D0D42"/>
    <w:rsid w:val="002F28CB"/>
    <w:rsid w:val="002F2BBD"/>
    <w:rsid w:val="003048EB"/>
    <w:rsid w:val="00316237"/>
    <w:rsid w:val="003254BE"/>
    <w:rsid w:val="0032789C"/>
    <w:rsid w:val="00332722"/>
    <w:rsid w:val="00340101"/>
    <w:rsid w:val="00344B14"/>
    <w:rsid w:val="003627CF"/>
    <w:rsid w:val="00385C3E"/>
    <w:rsid w:val="00387C9F"/>
    <w:rsid w:val="00392064"/>
    <w:rsid w:val="00393F18"/>
    <w:rsid w:val="00396416"/>
    <w:rsid w:val="003A39ED"/>
    <w:rsid w:val="003E1E29"/>
    <w:rsid w:val="003E2CBD"/>
    <w:rsid w:val="003E41F9"/>
    <w:rsid w:val="003F2504"/>
    <w:rsid w:val="003F6DE5"/>
    <w:rsid w:val="00402F34"/>
    <w:rsid w:val="00413755"/>
    <w:rsid w:val="00420504"/>
    <w:rsid w:val="00421A2E"/>
    <w:rsid w:val="00430538"/>
    <w:rsid w:val="00466456"/>
    <w:rsid w:val="00487EC9"/>
    <w:rsid w:val="0049469F"/>
    <w:rsid w:val="00495C07"/>
    <w:rsid w:val="004A45DB"/>
    <w:rsid w:val="004A698D"/>
    <w:rsid w:val="004C2DA5"/>
    <w:rsid w:val="004C7039"/>
    <w:rsid w:val="004D1D06"/>
    <w:rsid w:val="004E3106"/>
    <w:rsid w:val="004E4688"/>
    <w:rsid w:val="004E5AD5"/>
    <w:rsid w:val="004F0676"/>
    <w:rsid w:val="004F4147"/>
    <w:rsid w:val="004F5AF7"/>
    <w:rsid w:val="0052091B"/>
    <w:rsid w:val="00522ECD"/>
    <w:rsid w:val="00526A28"/>
    <w:rsid w:val="00532D8D"/>
    <w:rsid w:val="00542945"/>
    <w:rsid w:val="00544F4A"/>
    <w:rsid w:val="0055054C"/>
    <w:rsid w:val="0056259F"/>
    <w:rsid w:val="00562F65"/>
    <w:rsid w:val="005666C8"/>
    <w:rsid w:val="00572D04"/>
    <w:rsid w:val="0058241F"/>
    <w:rsid w:val="00584C3D"/>
    <w:rsid w:val="0059104D"/>
    <w:rsid w:val="00595181"/>
    <w:rsid w:val="005A6136"/>
    <w:rsid w:val="005B4656"/>
    <w:rsid w:val="005C0381"/>
    <w:rsid w:val="005C0CA3"/>
    <w:rsid w:val="005C1AE6"/>
    <w:rsid w:val="005C4E3F"/>
    <w:rsid w:val="005C5A3F"/>
    <w:rsid w:val="005D3C85"/>
    <w:rsid w:val="005D5E9B"/>
    <w:rsid w:val="005D6E4D"/>
    <w:rsid w:val="005E5F8B"/>
    <w:rsid w:val="00605D2B"/>
    <w:rsid w:val="00616DF8"/>
    <w:rsid w:val="00622B7C"/>
    <w:rsid w:val="0062511A"/>
    <w:rsid w:val="00625294"/>
    <w:rsid w:val="00626852"/>
    <w:rsid w:val="00637DDB"/>
    <w:rsid w:val="00660911"/>
    <w:rsid w:val="0066356D"/>
    <w:rsid w:val="00690281"/>
    <w:rsid w:val="00692398"/>
    <w:rsid w:val="006B4A5E"/>
    <w:rsid w:val="006B5280"/>
    <w:rsid w:val="006B6DA0"/>
    <w:rsid w:val="006E0635"/>
    <w:rsid w:val="0070603B"/>
    <w:rsid w:val="00722CC8"/>
    <w:rsid w:val="007272F4"/>
    <w:rsid w:val="00735698"/>
    <w:rsid w:val="00743171"/>
    <w:rsid w:val="00754FC4"/>
    <w:rsid w:val="00755080"/>
    <w:rsid w:val="007617E1"/>
    <w:rsid w:val="0076443A"/>
    <w:rsid w:val="00775DCC"/>
    <w:rsid w:val="00777ACC"/>
    <w:rsid w:val="00780333"/>
    <w:rsid w:val="00785994"/>
    <w:rsid w:val="007A18EE"/>
    <w:rsid w:val="007A441A"/>
    <w:rsid w:val="007A5BE8"/>
    <w:rsid w:val="007D72C5"/>
    <w:rsid w:val="007D7372"/>
    <w:rsid w:val="007E0BFA"/>
    <w:rsid w:val="007E434A"/>
    <w:rsid w:val="007E70E2"/>
    <w:rsid w:val="0081581C"/>
    <w:rsid w:val="00817DC3"/>
    <w:rsid w:val="00817DD6"/>
    <w:rsid w:val="008221EA"/>
    <w:rsid w:val="008257EE"/>
    <w:rsid w:val="00833542"/>
    <w:rsid w:val="00834867"/>
    <w:rsid w:val="00834C26"/>
    <w:rsid w:val="0085520E"/>
    <w:rsid w:val="0085547A"/>
    <w:rsid w:val="008604D3"/>
    <w:rsid w:val="008A7C1A"/>
    <w:rsid w:val="008B744C"/>
    <w:rsid w:val="008E507F"/>
    <w:rsid w:val="008E71BD"/>
    <w:rsid w:val="008F42BB"/>
    <w:rsid w:val="00922D20"/>
    <w:rsid w:val="0093293D"/>
    <w:rsid w:val="00932A61"/>
    <w:rsid w:val="00960243"/>
    <w:rsid w:val="009755BD"/>
    <w:rsid w:val="00984116"/>
    <w:rsid w:val="00985096"/>
    <w:rsid w:val="009A548B"/>
    <w:rsid w:val="009A5C72"/>
    <w:rsid w:val="009A70CE"/>
    <w:rsid w:val="009B14F9"/>
    <w:rsid w:val="009C2242"/>
    <w:rsid w:val="009C6DD8"/>
    <w:rsid w:val="009E2F42"/>
    <w:rsid w:val="009E5044"/>
    <w:rsid w:val="009F05E6"/>
    <w:rsid w:val="00A01D6B"/>
    <w:rsid w:val="00A046A7"/>
    <w:rsid w:val="00A11AF9"/>
    <w:rsid w:val="00A244B7"/>
    <w:rsid w:val="00A3363C"/>
    <w:rsid w:val="00A3545F"/>
    <w:rsid w:val="00A456C9"/>
    <w:rsid w:val="00A4625B"/>
    <w:rsid w:val="00A71152"/>
    <w:rsid w:val="00A758FA"/>
    <w:rsid w:val="00AA244F"/>
    <w:rsid w:val="00AA315F"/>
    <w:rsid w:val="00AA718F"/>
    <w:rsid w:val="00AB7EF6"/>
    <w:rsid w:val="00AE4470"/>
    <w:rsid w:val="00AF6550"/>
    <w:rsid w:val="00AF77CE"/>
    <w:rsid w:val="00B047F2"/>
    <w:rsid w:val="00B063D5"/>
    <w:rsid w:val="00B0716E"/>
    <w:rsid w:val="00B1379C"/>
    <w:rsid w:val="00B16A8B"/>
    <w:rsid w:val="00B175EF"/>
    <w:rsid w:val="00B2384C"/>
    <w:rsid w:val="00B30DAF"/>
    <w:rsid w:val="00B73339"/>
    <w:rsid w:val="00B815E6"/>
    <w:rsid w:val="00B82E8D"/>
    <w:rsid w:val="00B84180"/>
    <w:rsid w:val="00B84B59"/>
    <w:rsid w:val="00B90957"/>
    <w:rsid w:val="00B971FB"/>
    <w:rsid w:val="00BA7D70"/>
    <w:rsid w:val="00BC56C7"/>
    <w:rsid w:val="00BC61BB"/>
    <w:rsid w:val="00BD1ED1"/>
    <w:rsid w:val="00BD249E"/>
    <w:rsid w:val="00BD5DF0"/>
    <w:rsid w:val="00BE58FB"/>
    <w:rsid w:val="00BF19E9"/>
    <w:rsid w:val="00C16930"/>
    <w:rsid w:val="00C2154E"/>
    <w:rsid w:val="00C21EDD"/>
    <w:rsid w:val="00C300E3"/>
    <w:rsid w:val="00C47B51"/>
    <w:rsid w:val="00C47E58"/>
    <w:rsid w:val="00C55869"/>
    <w:rsid w:val="00C6194B"/>
    <w:rsid w:val="00C639CA"/>
    <w:rsid w:val="00C73109"/>
    <w:rsid w:val="00C73CD0"/>
    <w:rsid w:val="00C75B31"/>
    <w:rsid w:val="00C94D14"/>
    <w:rsid w:val="00C96A2A"/>
    <w:rsid w:val="00C97118"/>
    <w:rsid w:val="00CA7BCB"/>
    <w:rsid w:val="00CB4114"/>
    <w:rsid w:val="00CB4C0C"/>
    <w:rsid w:val="00CC1D1B"/>
    <w:rsid w:val="00CC1D63"/>
    <w:rsid w:val="00CC7DE5"/>
    <w:rsid w:val="00CD7FB2"/>
    <w:rsid w:val="00D0682B"/>
    <w:rsid w:val="00D22005"/>
    <w:rsid w:val="00D25736"/>
    <w:rsid w:val="00D36AE6"/>
    <w:rsid w:val="00D437F7"/>
    <w:rsid w:val="00D43ABD"/>
    <w:rsid w:val="00D5208B"/>
    <w:rsid w:val="00D90EEB"/>
    <w:rsid w:val="00D9445A"/>
    <w:rsid w:val="00DC6061"/>
    <w:rsid w:val="00DC70AF"/>
    <w:rsid w:val="00DC766D"/>
    <w:rsid w:val="00DD34EE"/>
    <w:rsid w:val="00DE1C2C"/>
    <w:rsid w:val="00DF04E0"/>
    <w:rsid w:val="00DF27D0"/>
    <w:rsid w:val="00E17A0D"/>
    <w:rsid w:val="00E26FEC"/>
    <w:rsid w:val="00E701DE"/>
    <w:rsid w:val="00E70796"/>
    <w:rsid w:val="00E735FD"/>
    <w:rsid w:val="00E7389C"/>
    <w:rsid w:val="00E73D33"/>
    <w:rsid w:val="00E84965"/>
    <w:rsid w:val="00E94DE3"/>
    <w:rsid w:val="00EB200B"/>
    <w:rsid w:val="00EB34BD"/>
    <w:rsid w:val="00EB5028"/>
    <w:rsid w:val="00EF15BE"/>
    <w:rsid w:val="00F055A1"/>
    <w:rsid w:val="00F103A7"/>
    <w:rsid w:val="00F120FF"/>
    <w:rsid w:val="00F1237C"/>
    <w:rsid w:val="00F50DCC"/>
    <w:rsid w:val="00F77EC7"/>
    <w:rsid w:val="00F84ED6"/>
    <w:rsid w:val="00F928C1"/>
    <w:rsid w:val="00F9436A"/>
    <w:rsid w:val="00FA2881"/>
    <w:rsid w:val="00FA2EE7"/>
    <w:rsid w:val="00FA354A"/>
    <w:rsid w:val="00FB5281"/>
    <w:rsid w:val="00FB64B1"/>
    <w:rsid w:val="00FB6F78"/>
    <w:rsid w:val="00FC58D3"/>
    <w:rsid w:val="00FD4F79"/>
    <w:rsid w:val="00FD6AB9"/>
    <w:rsid w:val="00FD7A2A"/>
    <w:rsid w:val="00FE6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42579F"/>
  <w15:docId w15:val="{82B70489-5F0C-064F-8784-A07AE880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E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2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02F52"/>
    <w:pPr>
      <w:tabs>
        <w:tab w:val="center" w:pos="4153"/>
        <w:tab w:val="right" w:pos="8306"/>
      </w:tabs>
      <w:snapToGrid w:val="0"/>
    </w:pPr>
    <w:rPr>
      <w:sz w:val="20"/>
      <w:szCs w:val="20"/>
    </w:rPr>
  </w:style>
  <w:style w:type="character" w:customStyle="1" w:styleId="a5">
    <w:name w:val="頁首 字元"/>
    <w:link w:val="a4"/>
    <w:uiPriority w:val="99"/>
    <w:locked/>
    <w:rsid w:val="00102F52"/>
    <w:rPr>
      <w:rFonts w:cs="Times New Roman"/>
      <w:sz w:val="20"/>
      <w:szCs w:val="20"/>
    </w:rPr>
  </w:style>
  <w:style w:type="paragraph" w:styleId="a6">
    <w:name w:val="footer"/>
    <w:basedOn w:val="a"/>
    <w:link w:val="a7"/>
    <w:uiPriority w:val="99"/>
    <w:rsid w:val="00102F52"/>
    <w:pPr>
      <w:tabs>
        <w:tab w:val="center" w:pos="4153"/>
        <w:tab w:val="right" w:pos="8306"/>
      </w:tabs>
      <w:snapToGrid w:val="0"/>
    </w:pPr>
    <w:rPr>
      <w:sz w:val="20"/>
      <w:szCs w:val="20"/>
    </w:rPr>
  </w:style>
  <w:style w:type="character" w:customStyle="1" w:styleId="a7">
    <w:name w:val="頁尾 字元"/>
    <w:link w:val="a6"/>
    <w:uiPriority w:val="99"/>
    <w:locked/>
    <w:rsid w:val="00102F52"/>
    <w:rPr>
      <w:rFonts w:cs="Times New Roman"/>
      <w:sz w:val="20"/>
      <w:szCs w:val="20"/>
    </w:rPr>
  </w:style>
  <w:style w:type="character" w:styleId="a8">
    <w:name w:val="annotation reference"/>
    <w:uiPriority w:val="99"/>
    <w:semiHidden/>
    <w:rsid w:val="00392064"/>
    <w:rPr>
      <w:rFonts w:cs="Times New Roman"/>
      <w:sz w:val="18"/>
      <w:szCs w:val="18"/>
    </w:rPr>
  </w:style>
  <w:style w:type="paragraph" w:styleId="a9">
    <w:name w:val="annotation text"/>
    <w:basedOn w:val="a"/>
    <w:link w:val="aa"/>
    <w:uiPriority w:val="99"/>
    <w:semiHidden/>
    <w:rsid w:val="00392064"/>
  </w:style>
  <w:style w:type="character" w:customStyle="1" w:styleId="aa">
    <w:name w:val="註解文字 字元"/>
    <w:link w:val="a9"/>
    <w:uiPriority w:val="99"/>
    <w:semiHidden/>
    <w:locked/>
    <w:rsid w:val="00392064"/>
    <w:rPr>
      <w:rFonts w:cs="Times New Roman"/>
    </w:rPr>
  </w:style>
  <w:style w:type="paragraph" w:styleId="ab">
    <w:name w:val="annotation subject"/>
    <w:basedOn w:val="a9"/>
    <w:next w:val="a9"/>
    <w:link w:val="ac"/>
    <w:uiPriority w:val="99"/>
    <w:semiHidden/>
    <w:rsid w:val="00392064"/>
    <w:rPr>
      <w:b/>
      <w:bCs/>
    </w:rPr>
  </w:style>
  <w:style w:type="character" w:customStyle="1" w:styleId="ac">
    <w:name w:val="註解主旨 字元"/>
    <w:link w:val="ab"/>
    <w:uiPriority w:val="99"/>
    <w:semiHidden/>
    <w:locked/>
    <w:rsid w:val="00392064"/>
    <w:rPr>
      <w:rFonts w:cs="Times New Roman"/>
      <w:b/>
      <w:bCs/>
    </w:rPr>
  </w:style>
  <w:style w:type="paragraph" w:styleId="ad">
    <w:name w:val="Balloon Text"/>
    <w:basedOn w:val="a"/>
    <w:link w:val="ae"/>
    <w:uiPriority w:val="99"/>
    <w:semiHidden/>
    <w:rsid w:val="00392064"/>
    <w:rPr>
      <w:rFonts w:ascii="Cambria" w:hAnsi="Cambria"/>
      <w:sz w:val="18"/>
      <w:szCs w:val="18"/>
    </w:rPr>
  </w:style>
  <w:style w:type="character" w:customStyle="1" w:styleId="ae">
    <w:name w:val="註解方塊文字 字元"/>
    <w:link w:val="ad"/>
    <w:uiPriority w:val="99"/>
    <w:semiHidden/>
    <w:locked/>
    <w:rsid w:val="00392064"/>
    <w:rPr>
      <w:rFonts w:ascii="Cambria" w:eastAsia="新細明體" w:hAnsi="Cambria" w:cs="Times New Roman"/>
      <w:sz w:val="18"/>
      <w:szCs w:val="18"/>
    </w:rPr>
  </w:style>
  <w:style w:type="character" w:styleId="af">
    <w:name w:val="Hyperlink"/>
    <w:uiPriority w:val="99"/>
    <w:rsid w:val="00392064"/>
    <w:rPr>
      <w:rFonts w:cs="Times New Roman"/>
      <w:color w:val="0000FF"/>
      <w:u w:val="single"/>
    </w:rPr>
  </w:style>
  <w:style w:type="paragraph" w:styleId="af0">
    <w:name w:val="List Paragraph"/>
    <w:basedOn w:val="a"/>
    <w:uiPriority w:val="34"/>
    <w:qFormat/>
    <w:rsid w:val="0016627F"/>
    <w:pPr>
      <w:ind w:leftChars="200" w:left="480"/>
    </w:pPr>
    <w:rPr>
      <w:rFonts w:ascii="Times New Roman" w:eastAsiaTheme="minorEastAsia" w:hAnsi="Times New Roman" w:cs="Times New Roman (本文 CS 字型)"/>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20C48-04A5-6549-BD4F-738C5B9C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231</Words>
  <Characters>1318</Characters>
  <Application>Microsoft Office Word</Application>
  <DocSecurity>0</DocSecurity>
  <Lines>10</Lines>
  <Paragraphs>3</Paragraphs>
  <ScaleCrop>false</ScaleCrop>
  <Company>Toshiba</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第十二屆行政法實務與理論學術研討會議程表</dc:title>
  <dc:creator>陳唯宗</dc:creator>
  <cp:lastModifiedBy>miaofanhsu@gmail.com</cp:lastModifiedBy>
  <cp:revision>5</cp:revision>
  <cp:lastPrinted>2013-12-03T02:58:00Z</cp:lastPrinted>
  <dcterms:created xsi:type="dcterms:W3CDTF">2019-11-12T10:59:00Z</dcterms:created>
  <dcterms:modified xsi:type="dcterms:W3CDTF">2019-11-14T15:13:00Z</dcterms:modified>
</cp:coreProperties>
</file>