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jc w:val="center"/>
        <w:rPr/>
      </w:pPr>
      <w:r>
        <w:rPr>
          <w:rFonts w:ascii="標楷體" w:hAnsi="標楷體" w:eastAsia="標楷體"/>
          <w:b/>
          <w:sz w:val="28"/>
          <w:szCs w:val="28"/>
        </w:rPr>
        <w:t>彰化縣社會工作師公會</w:t>
      </w:r>
      <w:r>
        <w:rPr>
          <w:rFonts w:eastAsia="標楷體" w:ascii="標楷體" w:hAnsi="標楷體"/>
          <w:b/>
          <w:sz w:val="28"/>
          <w:szCs w:val="28"/>
        </w:rPr>
        <w:t>107</w:t>
      </w:r>
      <w:r>
        <w:rPr>
          <w:rFonts w:ascii="標楷體" w:hAnsi="標楷體" w:eastAsia="標楷體"/>
          <w:b/>
          <w:sz w:val="28"/>
          <w:szCs w:val="28"/>
        </w:rPr>
        <w:t>年社會工作與新興媒體工作坊</w:t>
      </w:r>
    </w:p>
    <w:p>
      <w:pPr>
        <w:pStyle w:val="Normal"/>
        <w:spacing w:lineRule="exact" w:line="480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計畫緣起：</w:t>
      </w:r>
    </w:p>
    <w:p>
      <w:pPr>
        <w:pStyle w:val="ListParagraph"/>
        <w:tabs>
          <w:tab w:val="left" w:pos="567" w:leader="none"/>
          <w:tab w:val="left" w:pos="4429" w:leader="none"/>
        </w:tabs>
        <w:spacing w:lineRule="exact" w:line="480"/>
        <w:ind w:left="566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　　近年來台灣社會福利相關議題越趨多元，社會工作者除了必須熟悉過去一直以來的服務範疇外，更需擴充跨領域的知識能力培養，尤其</w:t>
      </w:r>
      <w:r>
        <w:rPr>
          <w:rFonts w:ascii="標楷體" w:hAnsi="標楷體" w:eastAsia="標楷體"/>
          <w:color w:val="000000"/>
        </w:rPr>
        <w:t>在這一波的新興浪潮中，新興媒體的崛起更是帶給社會工作者一項新的挑戰，不管是社群網站上的一則貼文，或是個人隨手上傳的一段短片，每一個事件都有可能帶來社會上的輿論討論；因此從平常的危機管理、公關關係經營，到突發事件時的立即判斷能力和新聞稿撰稿力，都是現今社會工作者不可或缺的能力之一。</w:t>
      </w:r>
    </w:p>
    <w:p>
      <w:pPr>
        <w:pStyle w:val="ListParagraph"/>
        <w:tabs>
          <w:tab w:val="left" w:pos="567" w:leader="none"/>
          <w:tab w:val="left" w:pos="4429" w:leader="none"/>
        </w:tabs>
        <w:spacing w:lineRule="exact" w:line="480"/>
        <w:ind w:left="566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</w:rPr>
        <w:t>　　</w:t>
      </w:r>
      <w:r>
        <w:rPr>
          <w:rFonts w:ascii="標楷體" w:hAnsi="標楷體" w:eastAsia="標楷體"/>
          <w:szCs w:val="24"/>
        </w:rPr>
        <w:t>綜上需求本會預計辦理社會工作與新興媒體工作坊，帶領社工夥伴接觸平常較不熟悉的媒體生態圈，學習如何與其應對，甚至是合作。在課堂中社會工作者能擴展自我知能，及獲得實作的經驗，以藉此讓社會工作環境得有不同的發展面貌。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  <w:tab w:val="left" w:pos="4429" w:leader="none"/>
        </w:tabs>
        <w:spacing w:lineRule="exact" w:line="48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計畫目的：</w:t>
      </w:r>
    </w:p>
    <w:p>
      <w:pPr>
        <w:pStyle w:val="ListParagraph"/>
        <w:tabs>
          <w:tab w:val="left" w:pos="567" w:leader="none"/>
          <w:tab w:val="left" w:pos="4429" w:leader="none"/>
        </w:tabs>
        <w:spacing w:lineRule="exact" w:line="48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一、提升社會工作實務專業知能。</w:t>
      </w:r>
    </w:p>
    <w:p>
      <w:pPr>
        <w:pStyle w:val="ListParagraph"/>
        <w:tabs>
          <w:tab w:val="left" w:pos="567" w:leader="none"/>
          <w:tab w:val="left" w:pos="4429" w:leader="none"/>
        </w:tabs>
        <w:spacing w:lineRule="exact" w:line="48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二、增進社會實務工作之服務品質。</w:t>
      </w:r>
    </w:p>
    <w:p>
      <w:pPr>
        <w:pStyle w:val="ListParagraph"/>
        <w:tabs>
          <w:tab w:val="left" w:pos="567" w:leader="none"/>
          <w:tab w:val="left" w:pos="4429" w:leader="none"/>
        </w:tabs>
        <w:spacing w:lineRule="exact" w:line="48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三、創造社會工作與其他領域交流之平台。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8"/>
        </w:rPr>
        <w:t>辦理單位：</w:t>
      </w:r>
    </w:p>
    <w:p>
      <w:pPr>
        <w:pStyle w:val="ListParagraph"/>
        <w:numPr>
          <w:ilvl w:val="0"/>
          <w:numId w:val="0"/>
        </w:numPr>
        <w:spacing w:lineRule="exact" w:line="480"/>
        <w:ind w:left="480" w:hanging="0"/>
        <w:rPr/>
      </w:pPr>
      <w:r>
        <w:rPr>
          <w:rFonts w:ascii="標楷體" w:hAnsi="標楷體" w:eastAsia="標楷體"/>
          <w:szCs w:val="28"/>
        </w:rPr>
        <w:t xml:space="preserve">     </w:t>
      </w:r>
      <w:r>
        <w:rPr>
          <w:rFonts w:ascii="標楷體" w:hAnsi="標楷體" w:eastAsia="標楷體"/>
          <w:szCs w:val="28"/>
        </w:rPr>
        <w:t>一</w:t>
      </w:r>
      <w:r>
        <w:rPr>
          <w:rFonts w:ascii="標楷體" w:hAnsi="標楷體" w:cs="新細明體" w:eastAsia="標楷體"/>
          <w:szCs w:val="28"/>
        </w:rPr>
        <w:t>、</w:t>
      </w:r>
      <w:r>
        <w:rPr>
          <w:rFonts w:ascii="標楷體" w:hAnsi="標楷體" w:eastAsia="標楷體"/>
          <w:szCs w:val="28"/>
        </w:rPr>
        <w:t>指導單位：衛生福利部</w:t>
      </w:r>
    </w:p>
    <w:p>
      <w:pPr>
        <w:pStyle w:val="ListParagraph"/>
        <w:numPr>
          <w:ilvl w:val="0"/>
          <w:numId w:val="0"/>
        </w:numPr>
        <w:spacing w:lineRule="exact" w:line="480"/>
        <w:ind w:left="480" w:hanging="0"/>
        <w:rPr/>
      </w:pPr>
      <w:r>
        <w:rPr>
          <w:rFonts w:ascii="標楷體" w:hAnsi="標楷體" w:eastAsia="標楷體"/>
          <w:szCs w:val="28"/>
        </w:rPr>
        <w:t xml:space="preserve">     </w:t>
      </w:r>
      <w:r>
        <w:rPr>
          <w:rFonts w:ascii="標楷體" w:hAnsi="標楷體" w:eastAsia="標楷體"/>
          <w:szCs w:val="28"/>
        </w:rPr>
        <w:t>二</w:t>
      </w:r>
      <w:r>
        <w:rPr>
          <w:rFonts w:ascii="標楷體" w:hAnsi="標楷體" w:cs="新細明體" w:eastAsia="標楷體"/>
          <w:szCs w:val="28"/>
        </w:rPr>
        <w:t>、</w:t>
      </w:r>
      <w:r>
        <w:rPr>
          <w:rFonts w:ascii="標楷體" w:hAnsi="標楷體" w:eastAsia="標楷體"/>
          <w:szCs w:val="28"/>
        </w:rPr>
        <w:t>主辦單位：中華民國社會工作師公會全國聯合會</w:t>
      </w:r>
    </w:p>
    <w:p>
      <w:pPr>
        <w:pStyle w:val="ListParagraph"/>
        <w:numPr>
          <w:ilvl w:val="0"/>
          <w:numId w:val="0"/>
        </w:numPr>
        <w:spacing w:lineRule="exact" w:line="480"/>
        <w:ind w:left="480" w:hanging="0"/>
        <w:rPr/>
      </w:pPr>
      <w:r>
        <w:rPr>
          <w:rFonts w:ascii="標楷體" w:hAnsi="標楷體" w:eastAsia="標楷體"/>
          <w:szCs w:val="28"/>
        </w:rPr>
        <w:t xml:space="preserve">     </w:t>
      </w:r>
      <w:r>
        <w:rPr>
          <w:rFonts w:ascii="標楷體" w:hAnsi="標楷體" w:eastAsia="標楷體"/>
          <w:szCs w:val="28"/>
        </w:rPr>
        <w:t>三</w:t>
      </w:r>
      <w:r>
        <w:rPr>
          <w:rFonts w:ascii="標楷體" w:hAnsi="標楷體" w:cs="新細明體" w:eastAsia="標楷體"/>
          <w:szCs w:val="28"/>
        </w:rPr>
        <w:t>、</w:t>
      </w:r>
      <w:r>
        <w:rPr>
          <w:rFonts w:ascii="標楷體" w:hAnsi="標楷體" w:eastAsia="標楷體"/>
          <w:szCs w:val="28"/>
        </w:rPr>
        <w:t>承辦單位：彰化縣社會工師公會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szCs w:val="28"/>
        </w:rPr>
      </w:pPr>
      <w:r>
        <w:rPr>
          <w:rFonts w:ascii="標楷體" w:hAnsi="標楷體" w:eastAsia="標楷體"/>
          <w:b/>
          <w:szCs w:val="28"/>
        </w:rPr>
        <w:t>活動對象及人數：</w:t>
      </w:r>
      <w:r>
        <w:rPr>
          <w:rFonts w:eastAsia="標楷體" w:ascii="標楷體" w:hAnsi="標楷體"/>
          <w:b/>
          <w:szCs w:val="28"/>
        </w:rPr>
        <w:br/>
      </w:r>
      <w:r>
        <w:rPr>
          <w:rFonts w:ascii="標楷體" w:hAnsi="標楷體" w:eastAsia="標楷體"/>
          <w:szCs w:val="28"/>
        </w:rPr>
        <w:t>一、關心社會工作師事務所之社會工作者、各地社會工作師、各縣市地方</w:t>
      </w:r>
      <w:r>
        <w:rPr>
          <w:rFonts w:eastAsia="標楷體" w:ascii="標楷體" w:hAnsi="標楷體"/>
          <w:szCs w:val="28"/>
        </w:rPr>
        <w:br/>
        <w:t xml:space="preserve">     </w:t>
      </w:r>
      <w:r>
        <w:rPr>
          <w:rFonts w:ascii="標楷體" w:hAnsi="標楷體" w:eastAsia="標楷體"/>
          <w:szCs w:val="28"/>
        </w:rPr>
        <w:t>社會工作師公會。</w:t>
      </w:r>
    </w:p>
    <w:p>
      <w:pPr>
        <w:pStyle w:val="ListParagraph"/>
        <w:numPr>
          <w:ilvl w:val="2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szCs w:val="28"/>
        </w:rPr>
      </w:pPr>
      <w:r>
        <w:rPr>
          <w:rFonts w:ascii="標楷體" w:hAnsi="標楷體" w:eastAsia="標楷體"/>
          <w:szCs w:val="28"/>
        </w:rPr>
        <w:t>每場次至少</w:t>
      </w:r>
      <w:r>
        <w:rPr>
          <w:rFonts w:eastAsia="標楷體" w:ascii="標楷體" w:hAnsi="標楷體"/>
          <w:szCs w:val="28"/>
        </w:rPr>
        <w:t>30</w:t>
      </w:r>
      <w:r>
        <w:rPr>
          <w:rFonts w:ascii="標楷體" w:hAnsi="標楷體" w:eastAsia="標楷體"/>
          <w:szCs w:val="28"/>
        </w:rPr>
        <w:t>人參加。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</w:rPr>
      </w:pPr>
      <w:r>
        <w:rPr>
          <w:rFonts w:ascii="標楷體" w:hAnsi="標楷體" w:eastAsia="標楷體"/>
          <w:b/>
          <w:szCs w:val="28"/>
        </w:rPr>
        <w:t>活動日期與時間：</w:t>
      </w:r>
      <w:r>
        <w:rPr>
          <w:rFonts w:eastAsia="標楷體" w:ascii="標楷體" w:hAnsi="標楷體"/>
          <w:szCs w:val="28"/>
        </w:rPr>
        <w:t>107</w:t>
      </w:r>
      <w:r>
        <w:rPr>
          <w:rFonts w:ascii="標楷體" w:hAnsi="標楷體" w:eastAsia="標楷體"/>
          <w:szCs w:val="28"/>
        </w:rPr>
        <w:t>年</w:t>
      </w:r>
      <w:r>
        <w:rPr>
          <w:rFonts w:eastAsia="標楷體" w:ascii="標楷體" w:hAnsi="標楷體"/>
          <w:szCs w:val="28"/>
        </w:rPr>
        <w:t>10</w:t>
      </w:r>
      <w:r>
        <w:rPr>
          <w:rFonts w:ascii="標楷體" w:hAnsi="標楷體" w:eastAsia="標楷體"/>
          <w:szCs w:val="28"/>
        </w:rPr>
        <w:t>月至</w:t>
      </w:r>
      <w:r>
        <w:rPr>
          <w:rFonts w:eastAsia="標楷體" w:ascii="標楷體" w:hAnsi="標楷體"/>
          <w:szCs w:val="28"/>
        </w:rPr>
        <w:t>27</w:t>
      </w:r>
      <w:r>
        <w:rPr>
          <w:rFonts w:ascii="標楷體" w:hAnsi="標楷體" w:eastAsia="標楷體"/>
          <w:szCs w:val="28"/>
        </w:rPr>
        <w:t>日上午</w:t>
      </w:r>
      <w:r>
        <w:rPr>
          <w:rFonts w:eastAsia="標楷體" w:ascii="標楷體" w:hAnsi="標楷體"/>
          <w:szCs w:val="28"/>
        </w:rPr>
        <w:t>9:30~</w:t>
      </w:r>
      <w:r>
        <w:rPr>
          <w:rFonts w:ascii="標楷體" w:hAnsi="標楷體" w:eastAsia="標楷體"/>
          <w:szCs w:val="28"/>
        </w:rPr>
        <w:t>下午</w:t>
      </w:r>
      <w:r>
        <w:rPr>
          <w:rFonts w:eastAsia="標楷體" w:ascii="標楷體" w:hAnsi="標楷體"/>
          <w:szCs w:val="28"/>
        </w:rPr>
        <w:t>4:30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</w:rPr>
      </w:pPr>
      <w:r>
        <w:rPr>
          <w:rFonts w:eastAsia="標楷體" w:ascii="標楷體" w:hAnsi="標楷體"/>
          <w:b/>
          <w:szCs w:val="28"/>
        </w:rPr>
        <w:t>~</w:t>
      </w:r>
      <w:r>
        <w:rPr>
          <w:rFonts w:ascii="標楷體" w:hAnsi="標楷體" w:eastAsia="標楷體"/>
          <w:b/>
          <w:szCs w:val="28"/>
        </w:rPr>
        <w:t>活動地點：彰化縣夢想館</w:t>
      </w:r>
      <w:r>
        <w:rPr>
          <w:rFonts w:eastAsia="標楷體" w:ascii="標楷體" w:hAnsi="標楷體"/>
          <w:b/>
          <w:szCs w:val="28"/>
        </w:rPr>
        <w:t>(</w:t>
      </w:r>
      <w:r>
        <w:rPr>
          <w:rFonts w:ascii="標楷體" w:hAnsi="標楷體" w:eastAsia="標楷體"/>
          <w:b/>
          <w:szCs w:val="28"/>
        </w:rPr>
        <w:t>彰化市金馬路</w:t>
      </w:r>
      <w:r>
        <w:rPr>
          <w:rFonts w:ascii="標楷體" w:hAnsi="標楷體" w:eastAsia="標楷體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>三段</w:t>
      </w:r>
      <w:r>
        <w:rPr>
          <w:rFonts w:eastAsia="標楷體" w:ascii="標楷體" w:hAnsi="標楷體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>656</w:t>
      </w:r>
      <w:r>
        <w:rPr>
          <w:rFonts w:ascii="標楷體" w:hAnsi="標楷體" w:eastAsia="標楷體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>號</w:t>
      </w:r>
      <w:r>
        <w:rPr>
          <w:rFonts w:eastAsia="標楷體" w:ascii="標楷體" w:hAnsi="標楷體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>4</w:t>
      </w:r>
      <w:r>
        <w:rPr>
          <w:rFonts w:ascii="標楷體" w:hAnsi="標楷體" w:eastAsia="標楷體"/>
          <w:b w:val="false"/>
          <w:i w:val="false"/>
          <w:caps w:val="false"/>
          <w:smallCaps w:val="false"/>
          <w:color w:val="222222"/>
          <w:spacing w:val="0"/>
          <w:sz w:val="24"/>
          <w:szCs w:val="28"/>
        </w:rPr>
        <w:t>樓</w:t>
      </w:r>
      <w:r>
        <w:rPr>
          <w:rFonts w:eastAsia="標楷體" w:ascii="標楷體" w:hAnsi="標楷體"/>
          <w:szCs w:val="28"/>
        </w:rPr>
        <w:t>)</w:t>
      </w:r>
    </w:p>
    <w:p>
      <w:pPr>
        <w:pStyle w:val="Normal"/>
        <w:widowControl/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  <w:r>
        <w:br w:type="page"/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b/>
          <w:b/>
          <w:szCs w:val="28"/>
        </w:rPr>
      </w:pPr>
      <w:r>
        <w:rPr>
          <w:rFonts w:ascii="標楷體" w:hAnsi="標楷體" w:eastAsia="標楷體"/>
          <w:b/>
          <w:szCs w:val="28"/>
        </w:rPr>
        <w:t>活動流程</w:t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1295400</wp:posOffset>
                </wp:positionH>
                <wp:positionV relativeFrom="paragraph">
                  <wp:posOffset>179070</wp:posOffset>
                </wp:positionV>
                <wp:extent cx="5329555" cy="2613660"/>
                <wp:effectExtent l="0" t="0" r="0" b="0"/>
                <wp:wrapSquare wrapText="bothSides"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080" cy="261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8386" w:type="dxa"/>
                              <w:jc w:val="left"/>
                              <w:tblInd w:w="93" w:type="dxa"/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558"/>
                              <w:gridCol w:w="4564"/>
                              <w:gridCol w:w="2264"/>
                            </w:tblGrid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講師</w:t>
                                  </w: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  <w:szCs w:val="28"/>
                                    </w:rPr>
                                    <w:t>暫定</w:t>
                                  </w: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9:00~9:30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9:30~10:20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、解讀傳統媒體與</w:t>
                                  </w: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新興媒體生態解讀新</w:t>
                                  </w:r>
                                </w:p>
                                <w:p>
                                  <w:pPr>
                                    <w:pStyle w:val="ListParagraph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興媒體生態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、社工與媒體關係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</w:rPr>
                                  </w:pPr>
                                  <w:bookmarkStart w:id="0" w:name="__DdeLink__147_1277479472"/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李宏文</w:t>
                                  </w: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/</w:t>
                                  </w:r>
                                  <w:bookmarkEnd w:id="0"/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兒童福利聯盟政策中心主任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10:30~12:10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、危機管理與危機應變</w:t>
                                  </w:r>
                                </w:p>
                                <w:p>
                                  <w:pPr>
                                    <w:pStyle w:val="ListParagraph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四、媒體應對技巧與教戰守則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12:10~13:00</w:t>
                                  </w:r>
                                </w:p>
                              </w:tc>
                              <w:tc>
                                <w:tcPr>
                                  <w:tcW w:w="6828" w:type="dxa"/>
                                  <w:gridSpan w:val="2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休息時間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13:00~14:40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五、如何運用媒體進行倡議</w:t>
                                  </w:r>
                                  <w:r>
                                    <w:rPr>
                                      <w:rFonts w:eastAsia="標楷體" w:cs="新細明體" w:ascii="標楷體" w:hAnsi="標楷體"/>
                                      <w:color w:val="00000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社群媒體資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hanging="0"/>
                                    <w:rPr/>
                                  </w:pP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訊應用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李宏文</w:t>
                                  </w: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  <w:t>兒童福利聯盟政策中心主任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5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ListParagraph"/>
                                    <w:ind w:left="0" w:hanging="0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  <w:t>14:50~16:30</w:t>
                                  </w:r>
                                </w:p>
                              </w:tc>
                              <w:tc>
                                <w:tcPr>
                                  <w:tcW w:w="4564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六、</w:t>
                                  </w:r>
                                  <w:bookmarkStart w:id="1" w:name="__DdeLink__157_1173174347"/>
                                  <w:bookmarkEnd w:id="1"/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採訪邀請函、新聞稿寫作要領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七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hAnsi="標楷體" w:cs="新細明體" w:eastAsia="標楷體"/>
                                      <w:color w:val="00000A"/>
                                    </w:rPr>
                                    <w:t>採訪邀請函、新聞稿實作演練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標楷體" w:hAnsi="標楷體" w:eastAsia="標楷體"/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color w:val="00000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框架1" stroked="f" style="position:absolute;margin-left:102pt;margin-top:14.1pt;width:419.55pt;height:205.7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a4"/>
                        <w:tblW w:w="8386" w:type="dxa"/>
                        <w:jc w:val="left"/>
                        <w:tblInd w:w="93" w:type="dxa"/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558"/>
                        <w:gridCol w:w="4564"/>
                        <w:gridCol w:w="2264"/>
                      </w:tblGrid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5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22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講師</w:t>
                            </w:r>
                            <w:r>
                              <w:rPr>
                                <w:rFonts w:eastAsia="標楷體" w:ascii="標楷體" w:hAnsi="標楷體"/>
                                <w:color w:val="00000A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hAnsi="標楷體" w:eastAsia="標楷體"/>
                                <w:color w:val="00000A"/>
                                <w:szCs w:val="28"/>
                              </w:rPr>
                              <w:t>暫定</w:t>
                            </w:r>
                            <w:r>
                              <w:rPr>
                                <w:rFonts w:eastAsia="標楷體" w:ascii="標楷體" w:hAnsi="標楷體"/>
                                <w:color w:val="00000A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9:00~9:30</w:t>
                            </w:r>
                          </w:p>
                        </w:tc>
                        <w:tc>
                          <w:tcPr>
                            <w:tcW w:w="45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22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rFonts w:ascii="標楷體" w:hAnsi="標楷體" w:eastAsia="標楷體"/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9:30~10:20</w:t>
                            </w:r>
                          </w:p>
                        </w:tc>
                        <w:tc>
                          <w:tcPr>
                            <w:tcW w:w="45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一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、解讀傳統媒體與</w:t>
                            </w: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新興媒體生態解讀新</w:t>
                            </w:r>
                          </w:p>
                          <w:p>
                            <w:pPr>
                              <w:pStyle w:val="ListParagraph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興媒體生態</w:t>
                            </w:r>
                          </w:p>
                          <w:p>
                            <w:pPr>
                              <w:pStyle w:val="Normal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二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、社工與媒體關係</w:t>
                            </w:r>
                          </w:p>
                        </w:tc>
                        <w:tc>
                          <w:tcPr>
                            <w:tcW w:w="2264" w:type="dxa"/>
                            <w:vMerge w:val="restart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</w:rPr>
                            </w:pPr>
                            <w:bookmarkStart w:id="2" w:name="__DdeLink__147_1277479472"/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李宏文</w:t>
                            </w: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/</w:t>
                            </w:r>
                            <w:bookmarkEnd w:id="2"/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兒童福利聯盟政策中心主任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10:30~12:10</w:t>
                            </w:r>
                          </w:p>
                        </w:tc>
                        <w:tc>
                          <w:tcPr>
                            <w:tcW w:w="45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三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、危機管理與危機應變</w:t>
                            </w:r>
                          </w:p>
                          <w:p>
                            <w:pPr>
                              <w:pStyle w:val="ListParagraph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四、媒體應對技巧與教戰守則</w:t>
                            </w:r>
                          </w:p>
                        </w:tc>
                        <w:tc>
                          <w:tcPr>
                            <w:tcW w:w="2264" w:type="dxa"/>
                            <w:vMerge w:val="continue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標楷體" w:hAnsi="標楷體" w:eastAsia="標楷體"/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12:10~13:00</w:t>
                            </w:r>
                          </w:p>
                        </w:tc>
                        <w:tc>
                          <w:tcPr>
                            <w:tcW w:w="6828" w:type="dxa"/>
                            <w:gridSpan w:val="2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休息時間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13:00~14:40</w:t>
                            </w:r>
                          </w:p>
                        </w:tc>
                        <w:tc>
                          <w:tcPr>
                            <w:tcW w:w="45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五、如何運用媒體進行倡議</w:t>
                            </w:r>
                            <w:r>
                              <w:rPr>
                                <w:rFonts w:eastAsia="標楷體" w:cs="新細明體" w:ascii="標楷體" w:hAnsi="標楷體"/>
                                <w:color w:val="00000A"/>
                              </w:rPr>
                              <w:t>-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社群媒體資</w:t>
                            </w:r>
                          </w:p>
                          <w:p>
                            <w:pPr>
                              <w:pStyle w:val="Normal"/>
                              <w:ind w:left="0" w:hanging="0"/>
                              <w:rPr/>
                            </w:pP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訊應用</w:t>
                            </w:r>
                          </w:p>
                        </w:tc>
                        <w:tc>
                          <w:tcPr>
                            <w:tcW w:w="2264" w:type="dxa"/>
                            <w:vMerge w:val="restart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李宏文</w:t>
                            </w: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/</w:t>
                            </w:r>
                            <w:r>
                              <w:rPr>
                                <w:rFonts w:ascii="標楷體" w:hAnsi="標楷體" w:eastAsia="標楷體"/>
                                <w:color w:val="00000A"/>
                              </w:rPr>
                              <w:t>兒童福利聯盟政策中心主任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5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ListParagraph"/>
                              <w:ind w:left="0" w:hanging="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  <w:t>14:50~16:30</w:t>
                            </w:r>
                          </w:p>
                        </w:tc>
                        <w:tc>
                          <w:tcPr>
                            <w:tcW w:w="4564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六、</w:t>
                            </w:r>
                            <w:bookmarkStart w:id="3" w:name="__DdeLink__157_1173174347"/>
                            <w:bookmarkEnd w:id="3"/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採訪邀請函、新聞稿寫作要領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七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、</w:t>
                            </w:r>
                            <w:r>
                              <w:rPr>
                                <w:rFonts w:ascii="標楷體" w:hAnsi="標楷體" w:cs="新細明體" w:eastAsia="標楷體"/>
                                <w:color w:val="00000A"/>
                              </w:rPr>
                              <w:t>採訪邀請函、新聞稿實作演練</w:t>
                            </w:r>
                          </w:p>
                        </w:tc>
                        <w:tc>
                          <w:tcPr>
                            <w:tcW w:w="2264" w:type="dxa"/>
                            <w:vMerge w:val="continue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標楷體" w:hAnsi="標楷體" w:eastAsia="標楷體"/>
                                <w:color w:val="00000A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color w:val="00000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Normal"/>
        <w:tabs>
          <w:tab w:val="left" w:pos="567" w:leader="none"/>
        </w:tabs>
        <w:rPr>
          <w:rFonts w:ascii="標楷體" w:hAnsi="標楷體" w:eastAsia="標楷體"/>
          <w:b/>
          <w:b/>
          <w:szCs w:val="28"/>
        </w:rPr>
      </w:pPr>
      <w:r>
        <w:rPr>
          <w:rFonts w:eastAsia="標楷體" w:ascii="標楷體" w:hAnsi="標楷體"/>
          <w:b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b/>
          <w:b/>
          <w:szCs w:val="28"/>
        </w:rPr>
      </w:pPr>
      <w:r>
        <w:rPr>
          <w:rFonts w:ascii="標楷體" w:hAnsi="標楷體" w:eastAsia="標楷體"/>
          <w:b/>
          <w:szCs w:val="28"/>
        </w:rPr>
        <w:t>預期效益</w:t>
      </w:r>
    </w:p>
    <w:p>
      <w:pPr>
        <w:pStyle w:val="ListParagraph"/>
        <w:numPr>
          <w:ilvl w:val="0"/>
          <w:numId w:val="2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透過工作坊辦理，促進不同領域之社工人員經驗交流。</w:t>
      </w:r>
    </w:p>
    <w:p>
      <w:pPr>
        <w:pStyle w:val="ListParagraph"/>
        <w:numPr>
          <w:ilvl w:val="0"/>
          <w:numId w:val="2"/>
        </w:numPr>
        <w:tabs>
          <w:tab w:val="left" w:pos="567" w:leader="none"/>
        </w:tabs>
        <w:spacing w:lineRule="exact" w:line="48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從事社會工作者或相關社會工作從業人員，預計共</w:t>
      </w:r>
      <w:r>
        <w:rPr>
          <w:rFonts w:eastAsia="標楷體" w:ascii="標楷體" w:hAnsi="標楷體"/>
          <w:szCs w:val="24"/>
        </w:rPr>
        <w:t>180</w:t>
      </w:r>
      <w:r>
        <w:rPr>
          <w:rFonts w:ascii="標楷體" w:hAnsi="標楷體" w:eastAsia="標楷體"/>
          <w:szCs w:val="24"/>
        </w:rPr>
        <w:t>人以上受益。</w:t>
      </w:r>
    </w:p>
    <w:p>
      <w:pPr>
        <w:pStyle w:val="ListParagraph"/>
        <w:numPr>
          <w:ilvl w:val="0"/>
          <w:numId w:val="2"/>
        </w:numPr>
        <w:tabs>
          <w:tab w:val="left" w:pos="567" w:leader="none"/>
        </w:tabs>
        <w:spacing w:lineRule="exact" w:line="480"/>
        <w:rPr/>
      </w:pPr>
      <w:r>
        <w:rPr>
          <w:rFonts w:ascii="標楷體" w:hAnsi="標楷體" w:eastAsia="標楷體"/>
          <w:szCs w:val="24"/>
        </w:rPr>
        <w:t>預期滿意度達</w:t>
      </w:r>
      <w:r>
        <w:rPr>
          <w:rFonts w:eastAsia="標楷體" w:ascii="標楷體" w:hAnsi="標楷體"/>
          <w:szCs w:val="24"/>
        </w:rPr>
        <w:t>80%</w:t>
      </w:r>
      <w:r>
        <w:rPr>
          <w:rFonts w:ascii="標楷體" w:hAnsi="標楷體" w:eastAsia="標楷體"/>
          <w:szCs w:val="24"/>
        </w:rPr>
        <w:t>以上。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rFonts w:ascii="標楷體" w:hAnsi="標楷體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2"/>
      <w:numFmt w:val="taiwaneseCountingThousand"/>
      <w:lvlText w:val="%3、"/>
      <w:lvlJc w:val="left"/>
      <w:pPr>
        <w:ind w:left="906" w:hanging="480"/>
      </w:pPr>
      <w:rPr>
        <w:rFonts w:ascii="標楷體" w:hAnsi="標楷體" w:eastAsia="標楷體" w:cs="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eastAsia="標楷體" w:cs="新細明體"/>
      </w:r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taiwaneseCountingThousand"/>
      <w:lvlText w:val="(%6)"/>
      <w:lvlJc w:val="left"/>
      <w:pPr>
        <w:ind w:left="1047" w:hanging="480"/>
      </w:pPr>
    </w:lvl>
    <w:lvl w:ilvl="6">
      <w:start w:val="1"/>
      <w:numFmt w:val="decimal"/>
      <w:lvlText w:val="3-%7."/>
      <w:lvlJc w:val="left"/>
      <w:pPr>
        <w:ind w:left="3240" w:hanging="360"/>
      </w:pPr>
      <w:rPr>
        <w:u w:val="none"/>
      </w:rPr>
    </w:lvl>
    <w:lvl w:ilvl="7">
      <w:start w:val="1"/>
      <w:numFmt w:val="decimal"/>
      <w:lvlText w:val="(%8)"/>
      <w:lvlJc w:val="left"/>
      <w:pPr>
        <w:ind w:left="2062" w:hanging="36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eastAsia="標楷體" w:cs="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2acd"/>
    <w:pPr>
      <w:widowControl w:val="false"/>
      <w:bidi w:val="0"/>
      <w:jc w:val="left"/>
    </w:pPr>
    <w:rPr>
      <w:rFonts w:ascii="Calibri" w:hAnsi="Calibri" w:eastAsia="" w:cs="新細明體" w:asciiTheme="minorHAnsi" w:cstheme="minorBidi" w:eastAsiaTheme="minorEastAsia" w:hAnsiTheme="minorHAnsi"/>
      <w:color w:val="00000A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5"/>
    <w:uiPriority w:val="99"/>
    <w:qFormat/>
    <w:rsid w:val="001b6952"/>
    <w:rPr>
      <w:sz w:val="20"/>
      <w:szCs w:val="20"/>
    </w:rPr>
  </w:style>
  <w:style w:type="character" w:styleId="Style15" w:customStyle="1">
    <w:name w:val="頁尾 字元"/>
    <w:basedOn w:val="DefaultParagraphFont"/>
    <w:link w:val="a7"/>
    <w:uiPriority w:val="99"/>
    <w:qFormat/>
    <w:rsid w:val="001b6952"/>
    <w:rPr>
      <w:sz w:val="20"/>
      <w:szCs w:val="20"/>
    </w:rPr>
  </w:style>
  <w:style w:type="character" w:styleId="Style16" w:customStyle="1">
    <w:name w:val="註解方塊文字 字元"/>
    <w:basedOn w:val="DefaultParagraphFont"/>
    <w:link w:val="a9"/>
    <w:uiPriority w:val="99"/>
    <w:semiHidden/>
    <w:qFormat/>
    <w:rsid w:val="00931c5f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ascii="標楷體" w:hAnsi="標楷體"/>
      <w:b/>
      <w:lang w:val="en-US"/>
    </w:rPr>
  </w:style>
  <w:style w:type="character" w:styleId="ListLabel2">
    <w:name w:val="ListLabel 2"/>
    <w:qFormat/>
    <w:rPr>
      <w:rFonts w:ascii="標楷體" w:hAnsi="標楷體" w:eastAsia="標楷體" w:cs=""/>
    </w:rPr>
  </w:style>
  <w:style w:type="character" w:styleId="ListLabel3">
    <w:name w:val="ListLabel 3"/>
    <w:qFormat/>
    <w:rPr>
      <w:rFonts w:eastAsia="標楷體" w:cs="新細明體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ascii="標楷體" w:hAnsi="標楷體" w:eastAsia="標楷體" w:cs=""/>
    </w:rPr>
  </w:style>
  <w:style w:type="character" w:styleId="ListLabel7">
    <w:name w:val="ListLabel 7"/>
    <w:qFormat/>
    <w:rPr>
      <w:rFonts w:ascii="標楷體" w:hAnsi="標楷體"/>
      <w:b/>
      <w:lang w:val="en-US"/>
    </w:rPr>
  </w:style>
  <w:style w:type="character" w:styleId="ListLabel8">
    <w:name w:val="ListLabel 8"/>
    <w:qFormat/>
    <w:rPr>
      <w:rFonts w:ascii="標楷體" w:hAnsi="標楷體" w:eastAsia="標楷體" w:cs=""/>
    </w:rPr>
  </w:style>
  <w:style w:type="character" w:styleId="ListLabel9">
    <w:name w:val="ListLabel 9"/>
    <w:qFormat/>
    <w:rPr>
      <w:rFonts w:eastAsia="標楷體" w:cs="新細明體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rFonts w:ascii="標楷體" w:hAnsi="標楷體" w:eastAsia="標楷體" w:cs=""/>
    </w:rPr>
  </w:style>
  <w:style w:type="character" w:styleId="ListLabel12">
    <w:name w:val="ListLabel 12"/>
    <w:qFormat/>
    <w:rPr>
      <w:rFonts w:ascii="標楷體" w:hAnsi="標楷體"/>
      <w:b/>
      <w:lang w:val="en-US"/>
    </w:rPr>
  </w:style>
  <w:style w:type="character" w:styleId="ListLabel13">
    <w:name w:val="ListLabel 13"/>
    <w:qFormat/>
    <w:rPr>
      <w:rFonts w:ascii="標楷體" w:hAnsi="標楷體" w:eastAsia="標楷體" w:cs=""/>
    </w:rPr>
  </w:style>
  <w:style w:type="character" w:styleId="ListLabel14">
    <w:name w:val="ListLabel 14"/>
    <w:qFormat/>
    <w:rPr>
      <w:rFonts w:eastAsia="標楷體" w:cs="新細明體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rFonts w:ascii="標楷體" w:hAnsi="標楷體" w:eastAsia="標楷體" w:cs=""/>
    </w:rPr>
  </w:style>
  <w:style w:type="character" w:styleId="ListLabel17">
    <w:name w:val="ListLabel 17"/>
    <w:qFormat/>
    <w:rPr>
      <w:rFonts w:ascii="標楷體" w:hAnsi="標楷體"/>
      <w:b/>
      <w:lang w:val="en-US"/>
    </w:rPr>
  </w:style>
  <w:style w:type="character" w:styleId="ListLabel18">
    <w:name w:val="ListLabel 18"/>
    <w:qFormat/>
    <w:rPr>
      <w:rFonts w:ascii="標楷體" w:hAnsi="標楷體" w:eastAsia="標楷體" w:cs=""/>
    </w:rPr>
  </w:style>
  <w:style w:type="character" w:styleId="ListLabel19">
    <w:name w:val="ListLabel 19"/>
    <w:qFormat/>
    <w:rPr>
      <w:rFonts w:eastAsia="標楷體" w:cs="新細明體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rFonts w:ascii="標楷體" w:hAnsi="標楷體" w:eastAsia="標楷體" w:cs="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22acd"/>
    <w:pPr>
      <w:ind w:left="480" w:hanging="0"/>
    </w:pPr>
    <w:rPr/>
  </w:style>
  <w:style w:type="paragraph" w:styleId="Style22">
    <w:name w:val="Header"/>
    <w:basedOn w:val="Normal"/>
    <w:link w:val="a6"/>
    <w:uiPriority w:val="99"/>
    <w:unhideWhenUsed/>
    <w:rsid w:val="001b695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8"/>
    <w:uiPriority w:val="99"/>
    <w:unhideWhenUsed/>
    <w:rsid w:val="001b6952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931c5f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24">
    <w:name w:val="框架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669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LibreOffice/5.1.5.2$Windows_X86_64 LibreOffice_project/7a864d8825610a8c07cfc3bc01dd4fce6a9447e5</Application>
  <Pages>4</Pages>
  <Words>276</Word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2018-04-14T09:10:00Z</dcterms:created>
  <dc:creator>user</dc:creator>
  <dc:description/>
  <dc:language>zh-TW</dc:language>
  <cp:lastModifiedBy/>
  <cp:lastPrinted>2018-01-19T06:30:00Z</cp:lastPrinted>
  <dcterms:modified xsi:type="dcterms:W3CDTF">2018-09-18T15:34:29Z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