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44" w:rsidRDefault="006808B4" w:rsidP="007B5EE8">
      <w:pPr>
        <w:spacing w:line="300" w:lineRule="exact"/>
        <w:jc w:val="center"/>
        <w:rPr>
          <w:rFonts w:ascii="標楷體" w:eastAsia="標楷體" w:hAnsi="標楷體"/>
          <w:b/>
          <w:sz w:val="32"/>
          <w:szCs w:val="32"/>
        </w:rPr>
      </w:pPr>
      <w:r>
        <w:rPr>
          <w:rFonts w:ascii="標楷體" w:eastAsia="標楷體" w:hAnsi="標楷體" w:hint="eastAsia"/>
          <w:b/>
          <w:sz w:val="32"/>
          <w:szCs w:val="32"/>
        </w:rPr>
        <w:t>105</w:t>
      </w:r>
      <w:r w:rsidR="007B5EE8" w:rsidRPr="00827E45">
        <w:rPr>
          <w:rFonts w:ascii="標楷體" w:eastAsia="標楷體" w:hAnsi="標楷體" w:hint="eastAsia"/>
          <w:b/>
          <w:sz w:val="32"/>
          <w:szCs w:val="32"/>
        </w:rPr>
        <w:t>年度新竹縣</w:t>
      </w:r>
      <w:r w:rsidR="007B5EE8" w:rsidRPr="00E87D92">
        <w:rPr>
          <w:rFonts w:ascii="標楷體" w:eastAsia="標楷體" w:hAnsi="標楷體" w:hint="eastAsia"/>
          <w:b/>
          <w:sz w:val="32"/>
          <w:szCs w:val="32"/>
        </w:rPr>
        <w:t>各行業附設兒童遊樂設施安全管理人員研習</w:t>
      </w:r>
      <w:r w:rsidR="00417C61">
        <w:rPr>
          <w:rFonts w:ascii="標楷體" w:eastAsia="標楷體" w:hAnsi="標楷體" w:hint="eastAsia"/>
          <w:b/>
          <w:sz w:val="32"/>
          <w:szCs w:val="32"/>
        </w:rPr>
        <w:t>計畫</w:t>
      </w:r>
      <w:bookmarkStart w:id="0" w:name="_GoBack"/>
      <w:bookmarkEnd w:id="0"/>
    </w:p>
    <w:p w:rsidR="007B5EE8" w:rsidRPr="006808B4" w:rsidRDefault="007B5EE8" w:rsidP="006808B4">
      <w:pPr>
        <w:adjustRightInd w:val="0"/>
        <w:snapToGrid w:val="0"/>
        <w:rPr>
          <w:rFonts w:ascii="標楷體" w:eastAsia="標楷體" w:hAnsi="標楷體"/>
          <w:sz w:val="28"/>
          <w:szCs w:val="28"/>
        </w:rPr>
      </w:pPr>
      <w:r w:rsidRPr="006808B4">
        <w:rPr>
          <w:rFonts w:ascii="標楷體" w:eastAsia="標楷體" w:hAnsi="標楷體" w:hint="eastAsia"/>
          <w:sz w:val="28"/>
          <w:szCs w:val="28"/>
        </w:rPr>
        <w:t>一、目的</w:t>
      </w:r>
    </w:p>
    <w:p w:rsidR="007B5EE8" w:rsidRPr="0070685D" w:rsidRDefault="007B5EE8" w:rsidP="0070685D">
      <w:pPr>
        <w:pStyle w:val="a3"/>
        <w:numPr>
          <w:ilvl w:val="0"/>
          <w:numId w:val="4"/>
        </w:numPr>
        <w:adjustRightInd w:val="0"/>
        <w:snapToGrid w:val="0"/>
        <w:ind w:leftChars="0"/>
        <w:rPr>
          <w:rFonts w:ascii="標楷體" w:eastAsia="標楷體" w:hAnsi="標楷體"/>
          <w:sz w:val="28"/>
          <w:szCs w:val="28"/>
        </w:rPr>
      </w:pPr>
      <w:r w:rsidRPr="0070685D">
        <w:rPr>
          <w:rFonts w:ascii="標楷體" w:eastAsia="標楷體" w:hAnsi="標楷體" w:hint="eastAsia"/>
          <w:color w:val="000000"/>
          <w:sz w:val="28"/>
          <w:szCs w:val="28"/>
        </w:rPr>
        <w:t>為建立完善的兒童遊戲安全維護機制，並協助各行業附設兒童遊樂設施業者落實機構內遊戲設施安全管理工作，</w:t>
      </w:r>
      <w:r w:rsidRPr="0070685D">
        <w:rPr>
          <w:rFonts w:ascii="標楷體" w:eastAsia="標楷體" w:hAnsi="標楷體" w:hint="eastAsia"/>
          <w:sz w:val="28"/>
          <w:szCs w:val="28"/>
        </w:rPr>
        <w:t>提升安全管理及緊急應變能力，以及自行保養與檢查遊樂設施之專業知識與技能。</w:t>
      </w:r>
    </w:p>
    <w:p w:rsidR="0070685D" w:rsidRPr="0070685D" w:rsidRDefault="0070685D" w:rsidP="0070685D">
      <w:pPr>
        <w:pStyle w:val="a3"/>
        <w:numPr>
          <w:ilvl w:val="0"/>
          <w:numId w:val="4"/>
        </w:numPr>
        <w:adjustRightInd w:val="0"/>
        <w:snapToGrid w:val="0"/>
        <w:ind w:leftChars="0"/>
        <w:rPr>
          <w:rFonts w:ascii="標楷體" w:eastAsia="標楷體" w:hAnsi="標楷體"/>
          <w:sz w:val="28"/>
          <w:szCs w:val="28"/>
        </w:rPr>
      </w:pPr>
      <w:r w:rsidRPr="0070685D">
        <w:rPr>
          <w:rFonts w:ascii="標楷體" w:eastAsia="標楷體" w:hAnsi="標楷體" w:hint="eastAsia"/>
          <w:sz w:val="28"/>
          <w:szCs w:val="28"/>
        </w:rPr>
        <w:t>因應衛生福利部社會及家庭署新修訂</w:t>
      </w:r>
      <w:r w:rsidRPr="0070685D">
        <w:rPr>
          <w:rFonts w:ascii="標楷體" w:eastAsia="標楷體" w:hAnsi="標楷體" w:cs="新細明體" w:hint="eastAsia"/>
          <w:kern w:val="0"/>
          <w:sz w:val="28"/>
          <w:szCs w:val="28"/>
        </w:rPr>
        <w:t>兒童遊戲場設施安全管理規範，擬定此次研習。</w:t>
      </w:r>
    </w:p>
    <w:p w:rsidR="007B5EE8" w:rsidRPr="006808B4" w:rsidRDefault="007B5EE8" w:rsidP="006808B4">
      <w:pPr>
        <w:adjustRightInd w:val="0"/>
        <w:snapToGrid w:val="0"/>
        <w:rPr>
          <w:rFonts w:ascii="標楷體" w:eastAsia="標楷體" w:hAnsi="標楷體"/>
          <w:sz w:val="28"/>
          <w:szCs w:val="28"/>
        </w:rPr>
      </w:pPr>
      <w:r w:rsidRPr="006808B4">
        <w:rPr>
          <w:rFonts w:ascii="標楷體" w:eastAsia="標楷體" w:hAnsi="標楷體" w:hint="eastAsia"/>
          <w:sz w:val="28"/>
          <w:szCs w:val="28"/>
        </w:rPr>
        <w:t>二、主辦單位：新竹縣政府</w:t>
      </w:r>
    </w:p>
    <w:p w:rsidR="007B5EE8" w:rsidRPr="006808B4" w:rsidRDefault="007B5EE8" w:rsidP="006808B4">
      <w:pPr>
        <w:adjustRightInd w:val="0"/>
        <w:snapToGrid w:val="0"/>
        <w:rPr>
          <w:rFonts w:ascii="標楷體" w:eastAsia="標楷體" w:hAnsi="標楷體"/>
          <w:sz w:val="28"/>
          <w:szCs w:val="28"/>
        </w:rPr>
      </w:pPr>
      <w:r w:rsidRPr="006808B4">
        <w:rPr>
          <w:rFonts w:ascii="標楷體" w:eastAsia="標楷體" w:hAnsi="標楷體" w:hint="eastAsia"/>
          <w:sz w:val="28"/>
          <w:szCs w:val="28"/>
        </w:rPr>
        <w:t>三、</w:t>
      </w:r>
      <w:r w:rsidRPr="006808B4">
        <w:rPr>
          <w:rFonts w:ascii="標楷體" w:eastAsia="標楷體" w:hAnsi="標楷體"/>
          <w:sz w:val="28"/>
          <w:szCs w:val="28"/>
        </w:rPr>
        <w:t>參加對象</w:t>
      </w:r>
    </w:p>
    <w:p w:rsidR="007B5EE8" w:rsidRPr="006808B4" w:rsidRDefault="007B5EE8" w:rsidP="006808B4">
      <w:pPr>
        <w:adjustRightInd w:val="0"/>
        <w:snapToGrid w:val="0"/>
        <w:ind w:left="566" w:hangingChars="202" w:hanging="566"/>
        <w:rPr>
          <w:rFonts w:ascii="標楷體" w:eastAsia="標楷體" w:hAnsi="標楷體"/>
          <w:sz w:val="28"/>
          <w:szCs w:val="28"/>
        </w:rPr>
      </w:pPr>
      <w:r w:rsidRPr="006808B4">
        <w:rPr>
          <w:rFonts w:ascii="標楷體" w:eastAsia="標楷體" w:hAnsi="標楷體" w:hint="eastAsia"/>
          <w:sz w:val="28"/>
          <w:szCs w:val="28"/>
        </w:rPr>
        <w:t xml:space="preserve">    </w:t>
      </w:r>
      <w:r w:rsidRPr="006808B4">
        <w:rPr>
          <w:rFonts w:ascii="標楷體" w:eastAsia="標楷體" w:hAnsi="標楷體"/>
          <w:sz w:val="28"/>
          <w:szCs w:val="28"/>
        </w:rPr>
        <w:t>本縣各行業附設兒童遊樂設施業者</w:t>
      </w:r>
      <w:r w:rsidRPr="006808B4">
        <w:rPr>
          <w:rFonts w:ascii="標楷體" w:eastAsia="標楷體" w:hAnsi="標楷體" w:hint="eastAsia"/>
          <w:sz w:val="28"/>
          <w:szCs w:val="28"/>
        </w:rPr>
        <w:t>（</w:t>
      </w:r>
      <w:r w:rsidRPr="006808B4">
        <w:rPr>
          <w:rFonts w:ascii="標楷體" w:eastAsia="標楷體" w:hAnsi="標楷體" w:cs="Arial" w:hint="eastAsia"/>
          <w:sz w:val="28"/>
          <w:szCs w:val="28"/>
        </w:rPr>
        <w:t>含</w:t>
      </w:r>
      <w:r w:rsidRPr="006808B4">
        <w:rPr>
          <w:rFonts w:ascii="標楷體" w:eastAsia="標楷體" w:hAnsi="標楷體" w:cs="Arial"/>
          <w:sz w:val="28"/>
          <w:szCs w:val="28"/>
        </w:rPr>
        <w:t>公私立托</w:t>
      </w:r>
      <w:r w:rsidRPr="006808B4">
        <w:rPr>
          <w:rFonts w:ascii="標楷體" w:eastAsia="標楷體" w:hAnsi="標楷體" w:cs="Arial" w:hint="eastAsia"/>
          <w:sz w:val="28"/>
          <w:szCs w:val="28"/>
        </w:rPr>
        <w:t>嬰中心</w:t>
      </w:r>
      <w:r w:rsidRPr="006808B4">
        <w:rPr>
          <w:rFonts w:ascii="標楷體" w:eastAsia="標楷體" w:hAnsi="標楷體" w:cs="Arial"/>
          <w:sz w:val="28"/>
          <w:szCs w:val="28"/>
        </w:rPr>
        <w:t>、幼</w:t>
      </w:r>
      <w:r w:rsidRPr="006808B4">
        <w:rPr>
          <w:rFonts w:ascii="標楷體" w:eastAsia="標楷體" w:hAnsi="標楷體" w:cs="Arial" w:hint="eastAsia"/>
          <w:sz w:val="28"/>
          <w:szCs w:val="28"/>
        </w:rPr>
        <w:t>兒</w:t>
      </w:r>
      <w:r w:rsidRPr="006808B4">
        <w:rPr>
          <w:rFonts w:ascii="標楷體" w:eastAsia="標楷體" w:hAnsi="標楷體" w:cs="Arial"/>
          <w:sz w:val="28"/>
          <w:szCs w:val="28"/>
        </w:rPr>
        <w:t>園、速食餐廳、遊樂場、大賣場、醫院等</w:t>
      </w:r>
      <w:r w:rsidRPr="006808B4">
        <w:rPr>
          <w:rFonts w:ascii="標楷體" w:eastAsia="標楷體" w:hAnsi="標楷體" w:cs="Arial" w:hint="eastAsia"/>
          <w:sz w:val="28"/>
          <w:szCs w:val="28"/>
        </w:rPr>
        <w:t>等</w:t>
      </w:r>
      <w:r w:rsidRPr="006808B4">
        <w:rPr>
          <w:rFonts w:ascii="標楷體" w:eastAsia="標楷體" w:hAnsi="標楷體" w:hint="eastAsia"/>
          <w:sz w:val="28"/>
          <w:szCs w:val="28"/>
        </w:rPr>
        <w:t>）之安全管理人員，及本府國際產業發展、交通旅遊、教育、社會、工務、消防、衛生、環保等單位承辦人員，預計</w:t>
      </w:r>
      <w:r w:rsidR="006808B4" w:rsidRPr="006808B4">
        <w:rPr>
          <w:rFonts w:ascii="標楷體" w:eastAsia="標楷體" w:hAnsi="標楷體" w:hint="eastAsia"/>
          <w:sz w:val="28"/>
          <w:szCs w:val="28"/>
        </w:rPr>
        <w:t>6</w:t>
      </w:r>
      <w:r w:rsidRPr="006808B4">
        <w:rPr>
          <w:rFonts w:ascii="標楷體" w:eastAsia="標楷體" w:hAnsi="標楷體" w:hint="eastAsia"/>
          <w:sz w:val="28"/>
          <w:szCs w:val="28"/>
        </w:rPr>
        <w:t>0人</w:t>
      </w:r>
      <w:r w:rsidRPr="006808B4">
        <w:rPr>
          <w:rFonts w:ascii="標楷體" w:eastAsia="標楷體" w:hAnsi="標楷體"/>
          <w:sz w:val="28"/>
          <w:szCs w:val="28"/>
        </w:rPr>
        <w:t>。</w:t>
      </w:r>
    </w:p>
    <w:p w:rsidR="007B5EE8" w:rsidRPr="006808B4" w:rsidRDefault="007B5EE8" w:rsidP="006808B4">
      <w:pPr>
        <w:adjustRightInd w:val="0"/>
        <w:snapToGrid w:val="0"/>
        <w:rPr>
          <w:rFonts w:ascii="標楷體" w:eastAsia="標楷體" w:hAnsi="標楷體"/>
          <w:sz w:val="28"/>
          <w:szCs w:val="28"/>
        </w:rPr>
      </w:pPr>
      <w:r w:rsidRPr="006808B4">
        <w:rPr>
          <w:rFonts w:ascii="標楷體" w:eastAsia="標楷體" w:hAnsi="標楷體" w:hint="eastAsia"/>
          <w:sz w:val="28"/>
          <w:szCs w:val="28"/>
        </w:rPr>
        <w:t>四、研習日期： 1</w:t>
      </w:r>
      <w:r w:rsidR="006808B4" w:rsidRPr="006808B4">
        <w:rPr>
          <w:rFonts w:ascii="標楷體" w:eastAsia="標楷體" w:hAnsi="標楷體" w:hint="eastAsia"/>
          <w:sz w:val="28"/>
          <w:szCs w:val="28"/>
        </w:rPr>
        <w:t>05</w:t>
      </w:r>
      <w:r w:rsidRPr="006808B4">
        <w:rPr>
          <w:rFonts w:ascii="標楷體" w:eastAsia="標楷體" w:hAnsi="標楷體" w:hint="eastAsia"/>
          <w:sz w:val="28"/>
          <w:szCs w:val="28"/>
        </w:rPr>
        <w:t>年</w:t>
      </w:r>
      <w:r w:rsidR="006808B4" w:rsidRPr="006808B4">
        <w:rPr>
          <w:rFonts w:ascii="標楷體" w:eastAsia="標楷體" w:hAnsi="標楷體" w:hint="eastAsia"/>
          <w:sz w:val="28"/>
          <w:szCs w:val="28"/>
        </w:rPr>
        <w:t>12</w:t>
      </w:r>
      <w:r w:rsidRPr="006808B4">
        <w:rPr>
          <w:rFonts w:ascii="標楷體" w:eastAsia="標楷體" w:hAnsi="標楷體" w:hint="eastAsia"/>
          <w:sz w:val="28"/>
          <w:szCs w:val="28"/>
        </w:rPr>
        <w:t>月</w:t>
      </w:r>
      <w:r w:rsidR="006808B4" w:rsidRPr="006808B4">
        <w:rPr>
          <w:rFonts w:ascii="標楷體" w:eastAsia="標楷體" w:hAnsi="標楷體" w:hint="eastAsia"/>
          <w:sz w:val="28"/>
          <w:szCs w:val="28"/>
        </w:rPr>
        <w:t>06日（星期二</w:t>
      </w:r>
      <w:r w:rsidRPr="006808B4">
        <w:rPr>
          <w:rFonts w:ascii="標楷體" w:eastAsia="標楷體" w:hAnsi="標楷體" w:hint="eastAsia"/>
          <w:sz w:val="28"/>
          <w:szCs w:val="28"/>
        </w:rPr>
        <w:t>） 14</w:t>
      </w:r>
      <w:proofErr w:type="gramStart"/>
      <w:r w:rsidRPr="006808B4">
        <w:rPr>
          <w:rFonts w:ascii="標楷體" w:eastAsia="標楷體" w:hAnsi="標楷體" w:hint="eastAsia"/>
          <w:sz w:val="28"/>
          <w:szCs w:val="28"/>
        </w:rPr>
        <w:t>︰</w:t>
      </w:r>
      <w:proofErr w:type="gramEnd"/>
      <w:r w:rsidRPr="006808B4">
        <w:rPr>
          <w:rFonts w:ascii="標楷體" w:eastAsia="標楷體" w:hAnsi="標楷體" w:hint="eastAsia"/>
          <w:sz w:val="28"/>
          <w:szCs w:val="28"/>
        </w:rPr>
        <w:t>00-17</w:t>
      </w:r>
      <w:proofErr w:type="gramStart"/>
      <w:r w:rsidRPr="006808B4">
        <w:rPr>
          <w:rFonts w:ascii="標楷體" w:eastAsia="標楷體" w:hAnsi="標楷體" w:hint="eastAsia"/>
          <w:sz w:val="28"/>
          <w:szCs w:val="28"/>
        </w:rPr>
        <w:t>︰</w:t>
      </w:r>
      <w:proofErr w:type="gramEnd"/>
      <w:r w:rsidRPr="006808B4">
        <w:rPr>
          <w:rFonts w:ascii="標楷體" w:eastAsia="標楷體" w:hAnsi="標楷體" w:hint="eastAsia"/>
          <w:sz w:val="28"/>
          <w:szCs w:val="28"/>
        </w:rPr>
        <w:t>00</w:t>
      </w:r>
      <w:r w:rsidRPr="006808B4">
        <w:rPr>
          <w:rFonts w:ascii="標楷體" w:eastAsia="標楷體" w:hAnsi="標楷體"/>
          <w:sz w:val="28"/>
          <w:szCs w:val="28"/>
        </w:rPr>
        <w:t xml:space="preserve"> </w:t>
      </w:r>
    </w:p>
    <w:p w:rsidR="007B5EE8" w:rsidRPr="006808B4" w:rsidRDefault="007B5EE8" w:rsidP="006808B4">
      <w:pPr>
        <w:adjustRightInd w:val="0"/>
        <w:snapToGrid w:val="0"/>
        <w:jc w:val="both"/>
        <w:rPr>
          <w:rFonts w:ascii="標楷體" w:eastAsia="標楷體" w:hAnsi="標楷體"/>
          <w:color w:val="000000"/>
          <w:sz w:val="28"/>
          <w:szCs w:val="28"/>
          <w:u w:val="double"/>
        </w:rPr>
      </w:pPr>
      <w:r w:rsidRPr="006808B4">
        <w:rPr>
          <w:rFonts w:ascii="標楷體" w:eastAsia="標楷體" w:hAnsi="標楷體" w:hint="eastAsia"/>
          <w:sz w:val="28"/>
          <w:szCs w:val="28"/>
        </w:rPr>
        <w:t>五、研習地點：新竹縣政府-</w:t>
      </w:r>
      <w:r w:rsidRPr="006808B4">
        <w:rPr>
          <w:rFonts w:ascii="標楷體" w:eastAsia="標楷體" w:hAnsi="標楷體" w:hint="eastAsia"/>
          <w:color w:val="000000"/>
          <w:sz w:val="28"/>
          <w:szCs w:val="28"/>
          <w:u w:val="double"/>
        </w:rPr>
        <w:t>B棟</w:t>
      </w:r>
      <w:smartTag w:uri="urn:schemas-microsoft-com:office:smarttags" w:element="chmetcnv">
        <w:smartTagPr>
          <w:attr w:name="TCSC" w:val="0"/>
          <w:attr w:name="NumberType" w:val="1"/>
          <w:attr w:name="Negative" w:val="False"/>
          <w:attr w:name="HasSpace" w:val="False"/>
          <w:attr w:name="SourceValue" w:val="6"/>
          <w:attr w:name="UnitName" w:val="F"/>
        </w:smartTagPr>
        <w:r w:rsidRPr="006808B4">
          <w:rPr>
            <w:rFonts w:ascii="標楷體" w:eastAsia="標楷體" w:hAnsi="標楷體" w:hint="eastAsia"/>
            <w:color w:val="000000"/>
            <w:sz w:val="28"/>
            <w:szCs w:val="28"/>
            <w:u w:val="double"/>
          </w:rPr>
          <w:t>6F</w:t>
        </w:r>
      </w:smartTag>
      <w:r w:rsidRPr="006808B4">
        <w:rPr>
          <w:rFonts w:ascii="標楷體" w:eastAsia="標楷體" w:hAnsi="標楷體" w:hint="eastAsia"/>
          <w:color w:val="000000"/>
          <w:sz w:val="28"/>
          <w:szCs w:val="28"/>
          <w:u w:val="double"/>
        </w:rPr>
        <w:t>第一會議室</w:t>
      </w:r>
    </w:p>
    <w:p w:rsidR="006808B4" w:rsidRPr="006808B4" w:rsidRDefault="006808B4" w:rsidP="006808B4">
      <w:pPr>
        <w:adjustRightInd w:val="0"/>
        <w:snapToGrid w:val="0"/>
        <w:jc w:val="both"/>
        <w:rPr>
          <w:rFonts w:ascii="標楷體" w:eastAsia="標楷體" w:hAnsi="標楷體"/>
          <w:color w:val="000000"/>
          <w:sz w:val="28"/>
          <w:szCs w:val="28"/>
          <w:u w:val="double"/>
        </w:rPr>
      </w:pPr>
      <w:r w:rsidRPr="006808B4">
        <w:rPr>
          <w:rFonts w:ascii="標楷體" w:eastAsia="標楷體" w:hAnsi="標楷體" w:hint="eastAsia"/>
          <w:color w:val="000000"/>
          <w:sz w:val="28"/>
          <w:szCs w:val="28"/>
        </w:rPr>
        <w:t>六、研習主題：</w:t>
      </w:r>
      <w:r w:rsidRPr="006808B4">
        <w:rPr>
          <w:rFonts w:ascii="標楷體" w:eastAsia="標楷體" w:hAnsi="標楷體" w:cs="新細明體" w:hint="eastAsia"/>
          <w:kern w:val="0"/>
          <w:sz w:val="28"/>
          <w:szCs w:val="28"/>
        </w:rPr>
        <w:t>兒童遊戲場安全檢查與保養</w:t>
      </w:r>
    </w:p>
    <w:p w:rsidR="007B5EE8" w:rsidRPr="006808B4" w:rsidRDefault="006808B4" w:rsidP="006808B4">
      <w:pPr>
        <w:adjustRightInd w:val="0"/>
        <w:snapToGrid w:val="0"/>
        <w:jc w:val="both"/>
        <w:rPr>
          <w:rFonts w:ascii="標楷體" w:eastAsia="標楷體" w:hAnsi="標楷體"/>
          <w:sz w:val="28"/>
          <w:szCs w:val="28"/>
        </w:rPr>
      </w:pPr>
      <w:r w:rsidRPr="006808B4">
        <w:rPr>
          <w:rFonts w:ascii="標楷體" w:eastAsia="標楷體" w:hAnsi="標楷體" w:hint="eastAsia"/>
          <w:color w:val="000000"/>
          <w:sz w:val="28"/>
          <w:szCs w:val="28"/>
        </w:rPr>
        <w:t>七</w:t>
      </w:r>
      <w:r w:rsidR="007B5EE8" w:rsidRPr="006808B4">
        <w:rPr>
          <w:rFonts w:ascii="標楷體" w:eastAsia="標楷體" w:hAnsi="標楷體" w:hint="eastAsia"/>
          <w:color w:val="000000"/>
          <w:sz w:val="28"/>
          <w:szCs w:val="28"/>
        </w:rPr>
        <w:t>、</w:t>
      </w:r>
      <w:r w:rsidR="007B5EE8" w:rsidRPr="006808B4">
        <w:rPr>
          <w:rFonts w:ascii="標楷體" w:eastAsia="標楷體" w:hAnsi="標楷體" w:hint="eastAsia"/>
          <w:sz w:val="28"/>
          <w:szCs w:val="28"/>
        </w:rPr>
        <w:t>研習課程：</w:t>
      </w:r>
    </w:p>
    <w:tbl>
      <w:tblPr>
        <w:tblStyle w:val="a4"/>
        <w:tblW w:w="0" w:type="auto"/>
        <w:tblInd w:w="817" w:type="dxa"/>
        <w:tblLook w:val="04A0" w:firstRow="1" w:lastRow="0" w:firstColumn="1" w:lastColumn="0" w:noHBand="0" w:noVBand="1"/>
      </w:tblPr>
      <w:tblGrid>
        <w:gridCol w:w="2126"/>
        <w:gridCol w:w="4395"/>
        <w:gridCol w:w="2693"/>
      </w:tblGrid>
      <w:tr w:rsidR="007B5EE8" w:rsidRPr="006808B4" w:rsidTr="006808B4">
        <w:trPr>
          <w:trHeight w:val="749"/>
        </w:trPr>
        <w:tc>
          <w:tcPr>
            <w:tcW w:w="2126" w:type="dxa"/>
            <w:tcBorders>
              <w:top w:val="double" w:sz="4" w:space="0" w:color="auto"/>
              <w:left w:val="double" w:sz="4" w:space="0" w:color="auto"/>
            </w:tcBorders>
            <w:vAlign w:val="center"/>
          </w:tcPr>
          <w:p w:rsidR="007B5EE8" w:rsidRPr="006808B4" w:rsidRDefault="007B5EE8" w:rsidP="00100132">
            <w:pPr>
              <w:contextualSpacing/>
              <w:jc w:val="center"/>
              <w:rPr>
                <w:rFonts w:ascii="標楷體" w:eastAsia="標楷體" w:hAnsi="標楷體"/>
                <w:color w:val="000000"/>
                <w:sz w:val="28"/>
                <w:szCs w:val="28"/>
              </w:rPr>
            </w:pPr>
            <w:r w:rsidRPr="006808B4">
              <w:rPr>
                <w:rFonts w:ascii="標楷體" w:eastAsia="標楷體" w:hAnsi="標楷體" w:hint="eastAsia"/>
                <w:color w:val="000000"/>
                <w:sz w:val="28"/>
                <w:szCs w:val="28"/>
              </w:rPr>
              <w:t>日期時間</w:t>
            </w:r>
          </w:p>
        </w:tc>
        <w:tc>
          <w:tcPr>
            <w:tcW w:w="4395" w:type="dxa"/>
            <w:tcBorders>
              <w:top w:val="double" w:sz="4" w:space="0" w:color="auto"/>
            </w:tcBorders>
            <w:vAlign w:val="center"/>
          </w:tcPr>
          <w:p w:rsidR="007B5EE8" w:rsidRPr="006808B4" w:rsidRDefault="007B5EE8" w:rsidP="00100132">
            <w:pPr>
              <w:contextualSpacing/>
              <w:jc w:val="center"/>
              <w:rPr>
                <w:rFonts w:ascii="標楷體" w:eastAsia="標楷體" w:hAnsi="標楷體"/>
                <w:color w:val="000000"/>
                <w:sz w:val="28"/>
                <w:szCs w:val="28"/>
              </w:rPr>
            </w:pPr>
            <w:r w:rsidRPr="006808B4">
              <w:rPr>
                <w:rFonts w:ascii="標楷體" w:eastAsia="標楷體" w:hAnsi="標楷體" w:hint="eastAsia"/>
                <w:color w:val="000000"/>
                <w:sz w:val="28"/>
                <w:szCs w:val="28"/>
              </w:rPr>
              <w:t>研習內容</w:t>
            </w:r>
          </w:p>
        </w:tc>
        <w:tc>
          <w:tcPr>
            <w:tcW w:w="2693" w:type="dxa"/>
            <w:tcBorders>
              <w:top w:val="double" w:sz="4" w:space="0" w:color="auto"/>
              <w:right w:val="double" w:sz="4" w:space="0" w:color="auto"/>
            </w:tcBorders>
            <w:vAlign w:val="center"/>
          </w:tcPr>
          <w:p w:rsidR="007B5EE8" w:rsidRPr="006808B4" w:rsidRDefault="007B5EE8" w:rsidP="00100132">
            <w:pPr>
              <w:contextualSpacing/>
              <w:jc w:val="center"/>
              <w:rPr>
                <w:rFonts w:ascii="標楷體" w:eastAsia="標楷體" w:hAnsi="標楷體"/>
                <w:color w:val="000000"/>
                <w:sz w:val="28"/>
                <w:szCs w:val="28"/>
              </w:rPr>
            </w:pPr>
            <w:r w:rsidRPr="006808B4">
              <w:rPr>
                <w:rFonts w:ascii="標楷體" w:eastAsia="標楷體" w:hAnsi="標楷體" w:hint="eastAsia"/>
                <w:color w:val="000000"/>
                <w:sz w:val="28"/>
                <w:szCs w:val="28"/>
              </w:rPr>
              <w:t>主講人</w:t>
            </w:r>
          </w:p>
        </w:tc>
      </w:tr>
      <w:tr w:rsidR="00100132" w:rsidRPr="006808B4" w:rsidTr="006808B4">
        <w:tc>
          <w:tcPr>
            <w:tcW w:w="2126" w:type="dxa"/>
            <w:tcBorders>
              <w:left w:val="double" w:sz="4" w:space="0" w:color="auto"/>
            </w:tcBorders>
            <w:vAlign w:val="center"/>
          </w:tcPr>
          <w:p w:rsidR="00100132" w:rsidRPr="006808B4" w:rsidRDefault="00100132" w:rsidP="00100132">
            <w:pPr>
              <w:contextualSpacing/>
              <w:jc w:val="center"/>
              <w:rPr>
                <w:rFonts w:ascii="標楷體" w:eastAsia="標楷體" w:hAnsi="標楷體"/>
                <w:color w:val="000000"/>
                <w:sz w:val="28"/>
                <w:szCs w:val="28"/>
              </w:rPr>
            </w:pPr>
            <w:r w:rsidRPr="006808B4">
              <w:rPr>
                <w:rFonts w:ascii="標楷體" w:eastAsia="標楷體" w:hAnsi="標楷體" w:hint="eastAsia"/>
                <w:color w:val="000000"/>
                <w:sz w:val="28"/>
                <w:szCs w:val="28"/>
              </w:rPr>
              <w:t>13:40-14:00</w:t>
            </w:r>
          </w:p>
        </w:tc>
        <w:tc>
          <w:tcPr>
            <w:tcW w:w="7088" w:type="dxa"/>
            <w:gridSpan w:val="2"/>
            <w:tcBorders>
              <w:right w:val="double" w:sz="4" w:space="0" w:color="auto"/>
            </w:tcBorders>
            <w:vAlign w:val="center"/>
          </w:tcPr>
          <w:p w:rsidR="00100132" w:rsidRPr="006808B4" w:rsidRDefault="00100132" w:rsidP="00100132">
            <w:pPr>
              <w:adjustRightInd w:val="0"/>
              <w:snapToGrid w:val="0"/>
              <w:jc w:val="center"/>
              <w:rPr>
                <w:rFonts w:ascii="標楷體" w:eastAsia="標楷體" w:hAnsi="標楷體"/>
                <w:sz w:val="28"/>
                <w:szCs w:val="28"/>
              </w:rPr>
            </w:pPr>
            <w:r w:rsidRPr="006808B4">
              <w:rPr>
                <w:rFonts w:ascii="標楷體" w:eastAsia="標楷體" w:hAnsi="標楷體" w:hint="eastAsia"/>
                <w:color w:val="000000"/>
                <w:sz w:val="28"/>
                <w:szCs w:val="28"/>
              </w:rPr>
              <w:t>報    到</w:t>
            </w:r>
          </w:p>
        </w:tc>
      </w:tr>
      <w:tr w:rsidR="007B5EE8" w:rsidRPr="006808B4" w:rsidTr="006808B4">
        <w:trPr>
          <w:trHeight w:val="2087"/>
        </w:trPr>
        <w:tc>
          <w:tcPr>
            <w:tcW w:w="2126" w:type="dxa"/>
            <w:tcBorders>
              <w:left w:val="double" w:sz="4" w:space="0" w:color="auto"/>
            </w:tcBorders>
            <w:vAlign w:val="center"/>
          </w:tcPr>
          <w:p w:rsidR="007B5EE8" w:rsidRPr="006808B4" w:rsidRDefault="007B5EE8" w:rsidP="00100132">
            <w:pPr>
              <w:contextualSpacing/>
              <w:jc w:val="center"/>
              <w:rPr>
                <w:rFonts w:ascii="標楷體" w:eastAsia="標楷體" w:hAnsi="標楷體"/>
                <w:color w:val="000000"/>
                <w:sz w:val="28"/>
                <w:szCs w:val="28"/>
                <w:highlight w:val="yellow"/>
              </w:rPr>
            </w:pPr>
            <w:r w:rsidRPr="006808B4">
              <w:rPr>
                <w:rFonts w:ascii="標楷體" w:eastAsia="標楷體" w:hAnsi="標楷體" w:hint="eastAsia"/>
                <w:color w:val="000000"/>
                <w:sz w:val="28"/>
                <w:szCs w:val="28"/>
              </w:rPr>
              <w:t>14:00-15：20</w:t>
            </w:r>
          </w:p>
        </w:tc>
        <w:tc>
          <w:tcPr>
            <w:tcW w:w="4395" w:type="dxa"/>
            <w:vAlign w:val="center"/>
          </w:tcPr>
          <w:p w:rsidR="00E233EE" w:rsidRDefault="00E233EE" w:rsidP="006808B4">
            <w:pPr>
              <w:widowControl/>
              <w:rPr>
                <w:rFonts w:ascii="標楷體" w:eastAsia="標楷體" w:hAnsi="標楷體" w:cs="新細明體"/>
                <w:kern w:val="0"/>
                <w:sz w:val="28"/>
                <w:szCs w:val="28"/>
              </w:rPr>
            </w:pPr>
            <w:r>
              <w:rPr>
                <w:rFonts w:ascii="標楷體" w:eastAsia="標楷體" w:hAnsi="標楷體" w:cs="Arial" w:hint="eastAsia"/>
                <w:kern w:val="0"/>
                <w:sz w:val="28"/>
                <w:szCs w:val="28"/>
              </w:rPr>
              <w:t>*</w:t>
            </w:r>
            <w:r w:rsidR="006808B4" w:rsidRPr="006808B4">
              <w:rPr>
                <w:rFonts w:ascii="標楷體" w:eastAsia="標楷體" w:hAnsi="標楷體" w:cs="新細明體" w:hint="eastAsia"/>
                <w:kern w:val="0"/>
                <w:sz w:val="28"/>
                <w:szCs w:val="28"/>
              </w:rPr>
              <w:t>遊戲場規劃原則及使用方法</w:t>
            </w:r>
          </w:p>
          <w:p w:rsidR="006808B4" w:rsidRPr="006808B4" w:rsidRDefault="00E233EE" w:rsidP="006808B4">
            <w:pPr>
              <w:widowControl/>
              <w:rPr>
                <w:rFonts w:ascii="標楷體" w:eastAsia="標楷體" w:hAnsi="標楷體" w:cs="Arial"/>
                <w:kern w:val="0"/>
                <w:sz w:val="28"/>
                <w:szCs w:val="28"/>
              </w:rPr>
            </w:pPr>
            <w:r>
              <w:rPr>
                <w:rFonts w:ascii="標楷體" w:eastAsia="標楷體" w:hAnsi="標楷體" w:cs="Arial" w:hint="eastAsia"/>
                <w:kern w:val="0"/>
                <w:sz w:val="28"/>
                <w:szCs w:val="28"/>
              </w:rPr>
              <w:t>*</w:t>
            </w:r>
            <w:r>
              <w:rPr>
                <w:rFonts w:ascii="標楷體" w:eastAsia="標楷體" w:hAnsi="標楷體" w:cs="新細明體" w:hint="eastAsia"/>
                <w:b/>
                <w:kern w:val="0"/>
                <w:sz w:val="28"/>
                <w:szCs w:val="28"/>
              </w:rPr>
              <w:t>新修訂</w:t>
            </w:r>
            <w:r w:rsidR="006808B4" w:rsidRPr="006808B4">
              <w:rPr>
                <w:rFonts w:ascii="標楷體" w:eastAsia="標楷體" w:hAnsi="標楷體" w:cs="新細明體" w:hint="eastAsia"/>
                <w:b/>
                <w:kern w:val="0"/>
                <w:sz w:val="28"/>
                <w:szCs w:val="28"/>
              </w:rPr>
              <w:t>兒童遊戲場設施安全管理規範中</w:t>
            </w:r>
            <w:r w:rsidR="006808B4" w:rsidRPr="006808B4">
              <w:rPr>
                <w:rFonts w:ascii="標楷體" w:eastAsia="標楷體" w:hAnsi="標楷體" w:cs="新細明體" w:hint="eastAsia"/>
                <w:b/>
                <w:color w:val="FF0000"/>
                <w:kern w:val="0"/>
                <w:sz w:val="28"/>
                <w:szCs w:val="28"/>
                <w:u w:val="single"/>
              </w:rPr>
              <w:t>「兒童遊戲設施自主檢查表」</w:t>
            </w:r>
            <w:r w:rsidR="006808B4" w:rsidRPr="006808B4">
              <w:rPr>
                <w:rFonts w:ascii="標楷體" w:eastAsia="標楷體" w:hAnsi="標楷體" w:cs="新細明體" w:hint="eastAsia"/>
                <w:b/>
                <w:kern w:val="0"/>
                <w:sz w:val="28"/>
                <w:szCs w:val="28"/>
              </w:rPr>
              <w:t>教學</w:t>
            </w:r>
          </w:p>
          <w:p w:rsidR="007B5EE8" w:rsidRPr="006808B4" w:rsidRDefault="00E233EE" w:rsidP="006808B4">
            <w:pPr>
              <w:spacing w:before="60" w:after="60" w:line="0" w:lineRule="atLeast"/>
              <w:jc w:val="both"/>
              <w:rPr>
                <w:rFonts w:ascii="標楷體" w:eastAsia="標楷體" w:hAnsi="標楷體"/>
                <w:color w:val="000000"/>
                <w:sz w:val="28"/>
                <w:szCs w:val="28"/>
                <w:highlight w:val="yellow"/>
              </w:rPr>
            </w:pPr>
            <w:r>
              <w:rPr>
                <w:rFonts w:ascii="標楷體" w:eastAsia="標楷體" w:hAnsi="標楷體" w:cs="Arial" w:hint="eastAsia"/>
                <w:kern w:val="0"/>
                <w:sz w:val="28"/>
                <w:szCs w:val="28"/>
              </w:rPr>
              <w:t>*</w:t>
            </w:r>
            <w:r w:rsidR="006808B4" w:rsidRPr="006808B4">
              <w:rPr>
                <w:rFonts w:ascii="標楷體" w:eastAsia="標楷體" w:hAnsi="標楷體" w:cs="新細明體" w:hint="eastAsia"/>
                <w:kern w:val="0"/>
                <w:sz w:val="28"/>
                <w:szCs w:val="28"/>
              </w:rPr>
              <w:t>遊戲場檢查程序與方法</w:t>
            </w:r>
          </w:p>
        </w:tc>
        <w:tc>
          <w:tcPr>
            <w:tcW w:w="2693" w:type="dxa"/>
            <w:tcBorders>
              <w:right w:val="double" w:sz="4" w:space="0" w:color="auto"/>
            </w:tcBorders>
            <w:vAlign w:val="center"/>
          </w:tcPr>
          <w:p w:rsidR="007B5EE8" w:rsidRPr="006808B4" w:rsidRDefault="007B5EE8" w:rsidP="00100132">
            <w:pPr>
              <w:contextualSpacing/>
              <w:jc w:val="both"/>
              <w:rPr>
                <w:rFonts w:ascii="標楷體" w:eastAsia="標楷體" w:hAnsi="標楷體"/>
                <w:color w:val="000000"/>
                <w:sz w:val="28"/>
                <w:szCs w:val="28"/>
              </w:rPr>
            </w:pPr>
            <w:r w:rsidRPr="006808B4">
              <w:rPr>
                <w:rFonts w:ascii="標楷體" w:eastAsia="標楷體" w:hAnsi="標楷體" w:hint="eastAsia"/>
                <w:color w:val="000000"/>
                <w:sz w:val="28"/>
                <w:szCs w:val="28"/>
              </w:rPr>
              <w:t xml:space="preserve">王俊傑 </w:t>
            </w:r>
            <w:r w:rsidRPr="006808B4">
              <w:rPr>
                <w:rFonts w:eastAsia="標楷體" w:hint="eastAsia"/>
                <w:color w:val="000000"/>
                <w:sz w:val="28"/>
                <w:szCs w:val="28"/>
              </w:rPr>
              <w:t>老師</w:t>
            </w:r>
          </w:p>
          <w:p w:rsidR="007B5EE8" w:rsidRPr="006808B4" w:rsidRDefault="007B5EE8" w:rsidP="00100132">
            <w:pPr>
              <w:contextualSpacing/>
              <w:jc w:val="both"/>
              <w:rPr>
                <w:rFonts w:ascii="標楷體" w:eastAsia="標楷體" w:hAnsi="標楷體"/>
                <w:color w:val="000000"/>
                <w:sz w:val="28"/>
                <w:szCs w:val="28"/>
              </w:rPr>
            </w:pPr>
            <w:r w:rsidRPr="006808B4">
              <w:rPr>
                <w:rFonts w:ascii="標楷體" w:eastAsia="標楷體" w:hAnsi="標楷體" w:hint="eastAsia"/>
                <w:color w:val="000000"/>
                <w:sz w:val="28"/>
                <w:szCs w:val="28"/>
              </w:rPr>
              <w:t>(台灣檢驗科技股份有限公司)</w:t>
            </w:r>
          </w:p>
        </w:tc>
      </w:tr>
      <w:tr w:rsidR="00100132" w:rsidRPr="006808B4" w:rsidTr="006808B4">
        <w:trPr>
          <w:trHeight w:val="473"/>
        </w:trPr>
        <w:tc>
          <w:tcPr>
            <w:tcW w:w="2126" w:type="dxa"/>
            <w:tcBorders>
              <w:left w:val="double" w:sz="4" w:space="0" w:color="auto"/>
            </w:tcBorders>
            <w:vAlign w:val="center"/>
          </w:tcPr>
          <w:p w:rsidR="00100132" w:rsidRPr="006808B4" w:rsidRDefault="00100132" w:rsidP="00100132">
            <w:pPr>
              <w:contextualSpacing/>
              <w:jc w:val="center"/>
              <w:rPr>
                <w:rFonts w:ascii="標楷體" w:eastAsia="標楷體" w:hAnsi="標楷體"/>
                <w:color w:val="000000"/>
                <w:sz w:val="28"/>
                <w:szCs w:val="28"/>
              </w:rPr>
            </w:pPr>
            <w:r w:rsidRPr="006808B4">
              <w:rPr>
                <w:rFonts w:ascii="標楷體" w:eastAsia="標楷體" w:hAnsi="標楷體" w:hint="eastAsia"/>
                <w:color w:val="000000"/>
                <w:sz w:val="28"/>
                <w:szCs w:val="28"/>
              </w:rPr>
              <w:t>15:20-15:35</w:t>
            </w:r>
          </w:p>
        </w:tc>
        <w:tc>
          <w:tcPr>
            <w:tcW w:w="7088" w:type="dxa"/>
            <w:gridSpan w:val="2"/>
            <w:tcBorders>
              <w:right w:val="double" w:sz="4" w:space="0" w:color="auto"/>
            </w:tcBorders>
            <w:vAlign w:val="center"/>
          </w:tcPr>
          <w:p w:rsidR="00100132" w:rsidRPr="006808B4" w:rsidRDefault="00100132" w:rsidP="00100132">
            <w:pPr>
              <w:adjustRightInd w:val="0"/>
              <w:snapToGrid w:val="0"/>
              <w:jc w:val="center"/>
              <w:rPr>
                <w:rFonts w:ascii="標楷體" w:eastAsia="標楷體" w:hAnsi="標楷體"/>
                <w:sz w:val="28"/>
                <w:szCs w:val="28"/>
              </w:rPr>
            </w:pPr>
            <w:r w:rsidRPr="006808B4">
              <w:rPr>
                <w:rFonts w:ascii="標楷體" w:eastAsia="標楷體" w:hAnsi="標楷體" w:hint="eastAsia"/>
                <w:color w:val="000000"/>
                <w:sz w:val="28"/>
                <w:szCs w:val="28"/>
              </w:rPr>
              <w:t>休    息</w:t>
            </w:r>
          </w:p>
        </w:tc>
      </w:tr>
      <w:tr w:rsidR="007B5EE8" w:rsidRPr="006808B4" w:rsidTr="006808B4">
        <w:tc>
          <w:tcPr>
            <w:tcW w:w="2126" w:type="dxa"/>
            <w:tcBorders>
              <w:left w:val="double" w:sz="4" w:space="0" w:color="auto"/>
              <w:bottom w:val="double" w:sz="4" w:space="0" w:color="auto"/>
            </w:tcBorders>
            <w:vAlign w:val="center"/>
          </w:tcPr>
          <w:p w:rsidR="007B5EE8" w:rsidRPr="006808B4" w:rsidRDefault="007B5EE8" w:rsidP="00100132">
            <w:pPr>
              <w:contextualSpacing/>
              <w:jc w:val="center"/>
              <w:rPr>
                <w:rFonts w:ascii="標楷體" w:eastAsia="標楷體" w:hAnsi="標楷體"/>
                <w:color w:val="000000"/>
                <w:sz w:val="28"/>
                <w:szCs w:val="28"/>
                <w:highlight w:val="yellow"/>
              </w:rPr>
            </w:pPr>
            <w:r w:rsidRPr="006808B4">
              <w:rPr>
                <w:rFonts w:ascii="標楷體" w:eastAsia="標楷體" w:hAnsi="標楷體" w:hint="eastAsia"/>
                <w:color w:val="000000"/>
                <w:sz w:val="28"/>
                <w:szCs w:val="28"/>
              </w:rPr>
              <w:t>15:35-17：00</w:t>
            </w:r>
          </w:p>
        </w:tc>
        <w:tc>
          <w:tcPr>
            <w:tcW w:w="4395" w:type="dxa"/>
            <w:tcBorders>
              <w:bottom w:val="double" w:sz="4" w:space="0" w:color="auto"/>
            </w:tcBorders>
            <w:vAlign w:val="center"/>
          </w:tcPr>
          <w:p w:rsidR="006808B4" w:rsidRPr="006808B4" w:rsidRDefault="00E233EE" w:rsidP="006808B4">
            <w:pPr>
              <w:widowControl/>
              <w:rPr>
                <w:rFonts w:ascii="Arial" w:eastAsia="新細明體" w:hAnsi="Arial" w:cs="Arial"/>
                <w:kern w:val="0"/>
                <w:sz w:val="28"/>
                <w:szCs w:val="28"/>
              </w:rPr>
            </w:pPr>
            <w:r>
              <w:rPr>
                <w:rFonts w:ascii="標楷體" w:eastAsia="標楷體" w:hAnsi="標楷體" w:cs="Arial" w:hint="eastAsia"/>
                <w:kern w:val="0"/>
                <w:sz w:val="28"/>
                <w:szCs w:val="28"/>
              </w:rPr>
              <w:t>*</w:t>
            </w:r>
            <w:r w:rsidR="006808B4" w:rsidRPr="006808B4">
              <w:rPr>
                <w:rFonts w:ascii="標楷體" w:eastAsia="標楷體" w:hAnsi="標楷體" w:cs="新細明體" w:hint="eastAsia"/>
                <w:kern w:val="0"/>
                <w:sz w:val="28"/>
                <w:szCs w:val="28"/>
              </w:rPr>
              <w:t>遊戲設施基本維護與保養</w:t>
            </w:r>
          </w:p>
          <w:p w:rsidR="007B5EE8" w:rsidRPr="00E233EE" w:rsidRDefault="00E233EE" w:rsidP="00E233EE">
            <w:pPr>
              <w:widowControl/>
              <w:rPr>
                <w:rFonts w:ascii="Arial" w:eastAsia="新細明體" w:hAnsi="Arial" w:cs="Arial"/>
                <w:kern w:val="0"/>
                <w:sz w:val="28"/>
                <w:szCs w:val="28"/>
              </w:rPr>
            </w:pPr>
            <w:r>
              <w:rPr>
                <w:rFonts w:ascii="標楷體" w:eastAsia="標楷體" w:hAnsi="標楷體" w:cs="Arial" w:hint="eastAsia"/>
                <w:kern w:val="0"/>
                <w:sz w:val="28"/>
                <w:szCs w:val="28"/>
              </w:rPr>
              <w:t>*</w:t>
            </w:r>
            <w:r w:rsidR="006808B4" w:rsidRPr="006808B4">
              <w:rPr>
                <w:rFonts w:ascii="標楷體" w:eastAsia="標楷體" w:hAnsi="標楷體" w:cs="新細明體" w:hint="eastAsia"/>
                <w:kern w:val="0"/>
                <w:sz w:val="28"/>
                <w:szCs w:val="28"/>
              </w:rPr>
              <w:t>採購遊戲設備及鋪面材料應注意事項</w:t>
            </w:r>
          </w:p>
        </w:tc>
        <w:tc>
          <w:tcPr>
            <w:tcW w:w="2693" w:type="dxa"/>
            <w:tcBorders>
              <w:bottom w:val="double" w:sz="4" w:space="0" w:color="auto"/>
              <w:right w:val="double" w:sz="4" w:space="0" w:color="auto"/>
            </w:tcBorders>
            <w:vAlign w:val="center"/>
          </w:tcPr>
          <w:p w:rsidR="007B5EE8" w:rsidRPr="006808B4" w:rsidRDefault="007B5EE8" w:rsidP="00100132">
            <w:pPr>
              <w:contextualSpacing/>
              <w:jc w:val="both"/>
              <w:rPr>
                <w:rFonts w:ascii="標楷體" w:eastAsia="標楷體" w:hAnsi="標楷體"/>
                <w:color w:val="000000"/>
                <w:sz w:val="28"/>
                <w:szCs w:val="28"/>
              </w:rPr>
            </w:pPr>
            <w:r w:rsidRPr="006808B4">
              <w:rPr>
                <w:rFonts w:ascii="標楷體" w:eastAsia="標楷體" w:hAnsi="標楷體" w:hint="eastAsia"/>
                <w:color w:val="000000"/>
                <w:sz w:val="28"/>
                <w:szCs w:val="28"/>
              </w:rPr>
              <w:t>王俊傑工程師</w:t>
            </w:r>
          </w:p>
          <w:p w:rsidR="007B5EE8" w:rsidRPr="006808B4" w:rsidRDefault="007B5EE8" w:rsidP="00100132">
            <w:pPr>
              <w:contextualSpacing/>
              <w:jc w:val="both"/>
              <w:rPr>
                <w:rFonts w:ascii="標楷體" w:eastAsia="標楷體" w:hAnsi="標楷體"/>
                <w:color w:val="000000"/>
                <w:sz w:val="28"/>
                <w:szCs w:val="28"/>
              </w:rPr>
            </w:pPr>
            <w:r w:rsidRPr="006808B4">
              <w:rPr>
                <w:rFonts w:ascii="標楷體" w:eastAsia="標楷體" w:hAnsi="標楷體" w:hint="eastAsia"/>
                <w:color w:val="000000"/>
                <w:sz w:val="28"/>
                <w:szCs w:val="28"/>
              </w:rPr>
              <w:t>(台灣檢驗科技股份有限公司)</w:t>
            </w:r>
          </w:p>
        </w:tc>
      </w:tr>
    </w:tbl>
    <w:p w:rsidR="007B5EE8" w:rsidRDefault="006808B4" w:rsidP="0070685D">
      <w:pPr>
        <w:adjustRightInd w:val="0"/>
        <w:snapToGrid w:val="0"/>
        <w:ind w:left="140" w:hangingChars="50" w:hanging="140"/>
        <w:jc w:val="both"/>
        <w:rPr>
          <w:rFonts w:ascii="標楷體" w:eastAsia="標楷體" w:hAnsi="標楷體"/>
          <w:sz w:val="28"/>
          <w:szCs w:val="28"/>
        </w:rPr>
      </w:pPr>
      <w:r>
        <w:rPr>
          <w:rFonts w:ascii="標楷體" w:eastAsia="標楷體" w:hAnsi="標楷體" w:hint="eastAsia"/>
          <w:sz w:val="28"/>
          <w:szCs w:val="28"/>
        </w:rPr>
        <w:t>八、</w:t>
      </w:r>
      <w:r w:rsidR="0070685D">
        <w:rPr>
          <w:rFonts w:ascii="標楷體" w:eastAsia="標楷體" w:hAnsi="標楷體" w:hint="eastAsia"/>
          <w:sz w:val="28"/>
          <w:szCs w:val="28"/>
        </w:rPr>
        <w:t xml:space="preserve">本案聯絡人  </w:t>
      </w:r>
    </w:p>
    <w:p w:rsidR="0070685D" w:rsidRPr="006F6E07" w:rsidRDefault="0070685D" w:rsidP="0070685D">
      <w:pPr>
        <w:adjustRightInd w:val="0"/>
        <w:snapToGrid w:val="0"/>
        <w:ind w:left="140" w:hangingChars="50" w:hanging="140"/>
        <w:jc w:val="both"/>
        <w:rPr>
          <w:rFonts w:ascii="標楷體" w:eastAsia="標楷體" w:hAnsi="標楷體"/>
          <w:sz w:val="26"/>
          <w:szCs w:val="26"/>
        </w:rPr>
      </w:pPr>
      <w:r>
        <w:rPr>
          <w:rFonts w:ascii="標楷體" w:eastAsia="標楷體" w:hAnsi="標楷體" w:hint="eastAsia"/>
          <w:sz w:val="28"/>
          <w:szCs w:val="28"/>
        </w:rPr>
        <w:t xml:space="preserve">     新竹縣政府社會處婦幼福利科，蔡薏茹小姐，電話03-5518101分機3256。</w:t>
      </w:r>
    </w:p>
    <w:sectPr w:rsidR="0070685D" w:rsidRPr="006F6E07" w:rsidSect="006F6E07">
      <w:pgSz w:w="11906" w:h="16838"/>
      <w:pgMar w:top="964" w:right="851" w:bottom="96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A4"/>
    <w:multiLevelType w:val="hybridMultilevel"/>
    <w:tmpl w:val="C794F5C8"/>
    <w:lvl w:ilvl="0" w:tplc="0090FF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6F5231"/>
    <w:multiLevelType w:val="hybridMultilevel"/>
    <w:tmpl w:val="0B96EE3C"/>
    <w:lvl w:ilvl="0" w:tplc="3B5C9F3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0A4854"/>
    <w:multiLevelType w:val="hybridMultilevel"/>
    <w:tmpl w:val="5316EAFA"/>
    <w:lvl w:ilvl="0" w:tplc="2354C970">
      <w:start w:val="1"/>
      <w:numFmt w:val="decimal"/>
      <w:lvlText w:val="%1."/>
      <w:lvlJc w:val="left"/>
      <w:pPr>
        <w:ind w:left="930" w:hanging="360"/>
      </w:pPr>
      <w:rPr>
        <w:rFonts w:hint="default"/>
        <w:color w:val="000000"/>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75017103"/>
    <w:multiLevelType w:val="hybridMultilevel"/>
    <w:tmpl w:val="9620B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E8"/>
    <w:rsid w:val="00100132"/>
    <w:rsid w:val="001E0944"/>
    <w:rsid w:val="00417C61"/>
    <w:rsid w:val="006808B4"/>
    <w:rsid w:val="006F6E07"/>
    <w:rsid w:val="0070685D"/>
    <w:rsid w:val="007B5EE8"/>
    <w:rsid w:val="00E23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EE8"/>
    <w:pPr>
      <w:ind w:leftChars="200" w:left="480"/>
    </w:pPr>
  </w:style>
  <w:style w:type="paragraph" w:customStyle="1" w:styleId="titile">
    <w:name w:val="titile"/>
    <w:basedOn w:val="a"/>
    <w:rsid w:val="007B5EE8"/>
    <w:pPr>
      <w:topLinePunct/>
      <w:jc w:val="both"/>
    </w:pPr>
    <w:rPr>
      <w:rFonts w:ascii="標楷體" w:eastAsia="標楷體" w:hAnsi="標楷體" w:cs="Times New Roman"/>
      <w:b/>
      <w:sz w:val="48"/>
      <w:szCs w:val="48"/>
    </w:rPr>
  </w:style>
  <w:style w:type="table" w:styleId="a4">
    <w:name w:val="Table Grid"/>
    <w:basedOn w:val="a1"/>
    <w:uiPriority w:val="59"/>
    <w:rsid w:val="007B5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F6E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EE8"/>
    <w:pPr>
      <w:ind w:leftChars="200" w:left="480"/>
    </w:pPr>
  </w:style>
  <w:style w:type="paragraph" w:customStyle="1" w:styleId="titile">
    <w:name w:val="titile"/>
    <w:basedOn w:val="a"/>
    <w:rsid w:val="007B5EE8"/>
    <w:pPr>
      <w:topLinePunct/>
      <w:jc w:val="both"/>
    </w:pPr>
    <w:rPr>
      <w:rFonts w:ascii="標楷體" w:eastAsia="標楷體" w:hAnsi="標楷體" w:cs="Times New Roman"/>
      <w:b/>
      <w:sz w:val="48"/>
      <w:szCs w:val="48"/>
    </w:rPr>
  </w:style>
  <w:style w:type="table" w:styleId="a4">
    <w:name w:val="Table Grid"/>
    <w:basedOn w:val="a1"/>
    <w:uiPriority w:val="59"/>
    <w:rsid w:val="007B5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F6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EC64-FF03-4A46-A8B8-136C0E0F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蔡薏茹</dc:creator>
  <cp:keywords/>
  <dc:description/>
  <cp:lastModifiedBy>蔡薏茹</cp:lastModifiedBy>
  <cp:revision>5</cp:revision>
  <dcterms:created xsi:type="dcterms:W3CDTF">2016-11-17T05:19:00Z</dcterms:created>
  <dcterms:modified xsi:type="dcterms:W3CDTF">2016-11-21T05:29:00Z</dcterms:modified>
</cp:coreProperties>
</file>